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AC91">
      <w:pPr>
        <w:pStyle w:val="2"/>
        <w:jc w:val="both"/>
        <w:rPr>
          <w:rFonts w:hint="default"/>
          <w:sz w:val="36"/>
          <w:szCs w:val="36"/>
        </w:rPr>
      </w:pPr>
      <w:bookmarkStart w:id="0" w:name="X1db405561dd4798095fcd32295d34be5f2d214a"/>
      <w:r>
        <w:rPr>
          <w:rFonts w:hint="default" w:ascii="Cambria" w:hAnsi="Cambria" w:cs="Cambria"/>
          <w:i/>
          <w:iCs/>
          <w:color w:val="156082" w:themeColor="accent1"/>
          <w:sz w:val="36"/>
          <w:szCs w:val="36"/>
          <w14:textFill>
            <w14:solidFill>
              <w14:schemeClr w14:val="accent1"/>
            </w14:solidFill>
          </w14:textFill>
        </w:rPr>
        <w:t>Real-Time ATM Monitoring Tool and Reporting System</w:t>
      </w:r>
    </w:p>
    <w:p w14:paraId="2AB1EA18">
      <w:pPr>
        <w:pStyle w:val="4"/>
        <w:jc w:val="left"/>
        <w:rPr>
          <w:rFonts w:hint="default" w:ascii="Cambria" w:hAnsi="Cambria" w:cs="Cambria"/>
          <w:i/>
          <w:i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bookmarkStart w:id="1" w:name="server-infrastructure-specification"/>
      <w:r>
        <w:rPr>
          <w:rFonts w:hint="default" w:ascii="Cambria" w:hAnsi="Cambria" w:cs="Cambria"/>
          <w:i/>
          <w:i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  <w:t>Server Infrastructure Specification</w:t>
      </w:r>
    </w:p>
    <w:p w14:paraId="5A611669">
      <w:pPr>
        <w:pStyle w:val="3"/>
        <w:rPr>
          <w:rFonts w:hint="default"/>
        </w:rPr>
      </w:pPr>
    </w:p>
    <w:p w14:paraId="5A8F621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cs="Cambria"/>
          <w:i/>
          <w:i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i/>
          <w:i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Production (LIVE)</w:t>
      </w:r>
    </w:p>
    <w:bookmarkEnd w:id="1"/>
    <w:tbl>
      <w:tblPr>
        <w:tblStyle w:val="43"/>
        <w:tblW w:w="6185" w:type="pct"/>
        <w:tblInd w:w="-10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591"/>
        <w:gridCol w:w="845"/>
        <w:gridCol w:w="1455"/>
        <w:gridCol w:w="1034"/>
        <w:gridCol w:w="1366"/>
        <w:gridCol w:w="3711"/>
      </w:tblGrid>
      <w:tr w14:paraId="13D62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  <w:vAlign w:val="top"/>
          </w:tcPr>
          <w:p w14:paraId="1AB273E5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bookmarkStart w:id="2" w:name="server-specification-table"/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Tool / Services</w:t>
            </w:r>
          </w:p>
        </w:tc>
        <w:tc>
          <w:tcPr>
            <w:tcW w:w="269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28D4D0C9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vCPU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1D08290F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RAM (GB)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431345C6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Storage (NVMe SSD)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485C5CCB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VMs Needed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7EB129AB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Operating System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7DF610D0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Notes</w:t>
            </w:r>
          </w:p>
        </w:tc>
      </w:tr>
      <w:tr w14:paraId="31B87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237888A5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Zabbix Server + Zabbix Web + Grafana + GLPI + Report Portal + Anomaly Detector + Network Correlator + State Manager</w:t>
            </w:r>
          </w:p>
        </w:tc>
        <w:tc>
          <w:tcPr>
            <w:tcW w:w="269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485008F9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16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68170E21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48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C86AB60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400 GB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6DF2F8B4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32C51E51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RHEL 9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70778020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Production monitoring platform for all ATM devices: alerting, escalation, dashboards, ticketing, SLA, reporting, anomaly and network correlation.</w:t>
            </w:r>
          </w:p>
        </w:tc>
      </w:tr>
      <w:tr w14:paraId="4EC46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491A1C40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PostgreSQL + OpenSearch + Elasticsearch + Filebeat</w:t>
            </w:r>
          </w:p>
        </w:tc>
        <w:tc>
          <w:tcPr>
            <w:tcW w:w="269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4ABB35B0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16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0B5DFB97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64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070EFD15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3 TB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2BE6AE82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6FF30F59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RHEL 9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42A1275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Production database (monitoring history, transactions, inventory, trends) and Electronic Journal (EJ) log storage, indexing, search, and analytics.</w:t>
            </w:r>
          </w:p>
        </w:tc>
      </w:tr>
      <w:tr w14:paraId="1F59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78057F86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ISO 8583 Gateway</w:t>
            </w:r>
          </w:p>
        </w:tc>
        <w:tc>
          <w:tcPr>
            <w:tcW w:w="269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2E6723AC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41856A16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6E54340F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100 GB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5CC4DB3C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34E7BE29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RHEL 9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7824171D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Receives switch transaction feeds. Kept on its own VM for network isolation (the only switch-facing ingress).</w:t>
            </w:r>
          </w:p>
        </w:tc>
      </w:tr>
    </w:tbl>
    <w:p w14:paraId="6D8BF34C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1448A326">
      <w:pPr>
        <w:numPr>
          <w:ilvl w:val="0"/>
          <w:numId w:val="3"/>
        </w:numPr>
        <w:ind w:left="420" w:leftChars="0" w:hanging="420" w:firstLineChars="0"/>
        <w:rPr>
          <w:rFonts w:hint="default" w:ascii="Cambria" w:hAnsi="Cambria" w:eastAsia="SimSun" w:cs="Cambria"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eastAsia="SimSun" w:cs="Cambria"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UAT Environment</w:t>
      </w:r>
    </w:p>
    <w:tbl>
      <w:tblPr>
        <w:tblStyle w:val="43"/>
        <w:tblW w:w="6185" w:type="pct"/>
        <w:tblInd w:w="-10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755"/>
        <w:gridCol w:w="845"/>
        <w:gridCol w:w="1455"/>
        <w:gridCol w:w="1034"/>
        <w:gridCol w:w="1366"/>
        <w:gridCol w:w="3711"/>
      </w:tblGrid>
      <w:tr w14:paraId="1AE0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6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</w:tcPr>
          <w:p w14:paraId="04FF2867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Tool / Services</w:t>
            </w:r>
          </w:p>
        </w:tc>
        <w:tc>
          <w:tcPr>
            <w:tcW w:w="34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591A99FA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vCPU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0ABBE778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RAM (GB)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4D9FB8BC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Storage (NVMe SSD)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4D8DD25B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VMs Needed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27C98E00">
            <w:pPr>
              <w:pStyle w:val="26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Operating System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</w:tcPr>
          <w:p w14:paraId="15AD025B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color w:val="FFFFFF"/>
                <w:sz w:val="24"/>
                <w:szCs w:val="24"/>
              </w:rPr>
              <w:t>Notes</w:t>
            </w:r>
          </w:p>
        </w:tc>
      </w:tr>
      <w:tr w14:paraId="20D76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6CEE697D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Zabbix + PostgreSQL + Grafana + GLPI + Report Portal</w:t>
            </w:r>
          </w:p>
        </w:tc>
        <w:tc>
          <w:tcPr>
            <w:tcW w:w="34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3964FA91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29A67BFD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6293A83C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500 GB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0F398A9E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1DC29202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RHEL 9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4DE24D7B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Shared UAT environment used for testing monitoring templates, dashboards, reports, ticketing workflows, and integrations.</w:t>
            </w:r>
          </w:p>
        </w:tc>
      </w:tr>
      <w:tr w14:paraId="10698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299BE86E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Elasticsearch + Kibana + ISO 8583 Gateway</w:t>
            </w:r>
          </w:p>
        </w:tc>
        <w:tc>
          <w:tcPr>
            <w:tcW w:w="34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6743361B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8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284DCE4C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664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46180360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500 GB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6EC03A7C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33AC4FAF">
            <w:pPr>
              <w:pStyle w:val="26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</w:rPr>
              <w:t>RHEL 9</w:t>
            </w:r>
          </w:p>
        </w:tc>
        <w:tc>
          <w:tcPr>
            <w:tcW w:w="169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</w:tcPr>
          <w:p w14:paraId="68D118C3">
            <w:pPr>
              <w:pStyle w:val="2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ambria" w:hAnsi="Cambria" w:cs="Cambria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Shared UAT platform for EJ log testing, search validation, transaction feed simulation, and anomaly testing.</w:t>
            </w:r>
          </w:p>
        </w:tc>
      </w:tr>
      <w:bookmarkEnd w:id="2"/>
    </w:tbl>
    <w:p w14:paraId="4A33167A">
      <w:pPr>
        <w:pStyle w:val="4"/>
        <w:numPr>
          <w:ilvl w:val="0"/>
          <w:numId w:val="0"/>
        </w:numPr>
        <w:ind w:leftChars="0"/>
        <w:jc w:val="both"/>
        <w:rPr>
          <w:rFonts w:hint="default" w:ascii="Cambria" w:hAnsi="Cambria" w:cs="Cambria"/>
          <w:i/>
          <w:i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bookmarkStart w:id="3" w:name="summary-totals"/>
    </w:p>
    <w:p w14:paraId="49AD4EFD">
      <w:pPr>
        <w:pStyle w:val="4"/>
        <w:numPr>
          <w:ilvl w:val="0"/>
          <w:numId w:val="4"/>
        </w:numPr>
        <w:ind w:left="420" w:leftChars="0" w:hanging="420" w:firstLineChars="0"/>
        <w:jc w:val="both"/>
        <w:rPr>
          <w:rFonts w:hint="default" w:ascii="Cambria" w:hAnsi="Cambria" w:cs="Cambria"/>
          <w:i/>
          <w:i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i/>
          <w:i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Summary Totals</w:t>
      </w:r>
    </w:p>
    <w:tbl>
      <w:tblPr>
        <w:tblStyle w:val="43"/>
        <w:tblpPr w:leftFromText="180" w:rightFromText="180" w:vertAnchor="text" w:horzAnchor="page" w:tblpX="1139" w:tblpY="124"/>
        <w:tblOverlap w:val="never"/>
        <w:tblW w:w="0" w:type="auto"/>
        <w:tblInd w:w="-164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863"/>
        <w:gridCol w:w="1863"/>
        <w:gridCol w:w="2706"/>
        <w:gridCol w:w="1878"/>
      </w:tblGrid>
      <w:tr w14:paraId="32741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  <w:vAlign w:val="top"/>
          </w:tcPr>
          <w:p w14:paraId="6FDBFA28">
            <w:pPr>
              <w:pStyle w:val="26"/>
              <w:jc w:val="both"/>
              <w:rPr>
                <w:rFonts w:hint="default" w:ascii="Cambria" w:hAnsi="Cambria" w:cs="Cambria"/>
                <w:b/>
                <w:color w:val="FFFFFF"/>
                <w:lang w:val="en-US"/>
              </w:rPr>
            </w:pPr>
            <w:r>
              <w:rPr>
                <w:rFonts w:hint="default" w:ascii="Cambria" w:hAnsi="Cambria" w:cs="Cambria"/>
                <w:b/>
                <w:color w:val="FFFFFF"/>
                <w:lang w:val="en-US"/>
              </w:rPr>
              <w:t>Environement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  <w:vAlign w:val="top"/>
          </w:tcPr>
          <w:p w14:paraId="727701FB">
            <w:pPr>
              <w:pStyle w:val="26"/>
              <w:jc w:val="both"/>
              <w:rPr>
                <w:rFonts w:hint="default" w:ascii="Cambria" w:hAnsi="Cambria" w:cs="Cambria"/>
                <w:b/>
                <w:color w:val="FFFFFF"/>
                <w:lang w:val="en-US"/>
              </w:rPr>
            </w:pPr>
            <w:r>
              <w:rPr>
                <w:rFonts w:hint="default" w:ascii="Cambria" w:hAnsi="Cambria" w:cs="Cambria"/>
                <w:b/>
                <w:color w:val="FFFFFF"/>
                <w:lang w:val="en-US"/>
              </w:rPr>
              <w:t>VMs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  <w:vAlign w:val="top"/>
          </w:tcPr>
          <w:p w14:paraId="2A70C840">
            <w:pPr>
              <w:pStyle w:val="26"/>
              <w:jc w:val="both"/>
              <w:rPr>
                <w:rFonts w:hint="default" w:ascii="Cambria" w:hAnsi="Cambria" w:cs="Cambria"/>
                <w:b/>
                <w:color w:val="FFFFFF"/>
                <w:lang w:val="en-US"/>
              </w:rPr>
            </w:pPr>
            <w:r>
              <w:rPr>
                <w:rFonts w:hint="default" w:ascii="Cambria" w:hAnsi="Cambria" w:cs="Cambria"/>
                <w:b/>
                <w:color w:val="FFFFFF"/>
                <w:lang w:val="en-US"/>
              </w:rPr>
              <w:t>vCPU</w:t>
            </w:r>
          </w:p>
        </w:tc>
        <w:tc>
          <w:tcPr>
            <w:tcW w:w="2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156082"/>
            <w:vAlign w:val="top"/>
          </w:tcPr>
          <w:p w14:paraId="55900E7E">
            <w:pPr>
              <w:pStyle w:val="26"/>
              <w:jc w:val="both"/>
              <w:rPr>
                <w:rFonts w:hint="default" w:ascii="Cambria" w:hAnsi="Cambria" w:cs="Cambria"/>
                <w:b/>
                <w:color w:val="FFFFFF"/>
                <w:lang w:val="en-US"/>
              </w:rPr>
            </w:pPr>
            <w:r>
              <w:rPr>
                <w:rFonts w:hint="default" w:ascii="Cambria" w:hAnsi="Cambria" w:cs="Cambria"/>
                <w:b/>
                <w:color w:val="FFFFFF"/>
                <w:lang w:val="en-US"/>
              </w:rPr>
              <w:t>RAM</w:t>
            </w:r>
          </w:p>
        </w:tc>
        <w:tc>
          <w:tcPr>
            <w:tcW w:w="18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56082"/>
            <w:vAlign w:val="top"/>
          </w:tcPr>
          <w:p w14:paraId="437819A6">
            <w:pPr>
              <w:pStyle w:val="26"/>
              <w:jc w:val="both"/>
              <w:rPr>
                <w:rFonts w:hint="default" w:ascii="Cambria" w:hAnsi="Cambria" w:cs="Cambria"/>
                <w:b/>
                <w:color w:val="FFFFFF"/>
                <w:lang w:val="en-US"/>
              </w:rPr>
            </w:pPr>
            <w:r>
              <w:rPr>
                <w:rFonts w:hint="default" w:ascii="Cambria" w:hAnsi="Cambria" w:cs="Cambria"/>
                <w:b/>
                <w:color w:val="FFFFFF"/>
                <w:lang w:val="en-US"/>
              </w:rPr>
              <w:t>Storage</w:t>
            </w:r>
          </w:p>
        </w:tc>
      </w:tr>
      <w:tr w14:paraId="3491C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FA5F52F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Production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05BA3DA1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7BA646A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36</w:t>
            </w:r>
          </w:p>
        </w:tc>
        <w:tc>
          <w:tcPr>
            <w:tcW w:w="2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FF908AA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120 GB</w:t>
            </w:r>
          </w:p>
        </w:tc>
        <w:tc>
          <w:tcPr>
            <w:tcW w:w="18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3D49F287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3.5 TB</w:t>
            </w:r>
          </w:p>
        </w:tc>
      </w:tr>
      <w:tr w14:paraId="7DCBF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8220283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UAT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64AB59B5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2</w:t>
            </w:r>
            <w:bookmarkStart w:id="5" w:name="_GoBack"/>
            <w:bookmarkEnd w:id="5"/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564530D0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4601A769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16 GB</w:t>
            </w:r>
          </w:p>
        </w:tc>
        <w:tc>
          <w:tcPr>
            <w:tcW w:w="18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00B678EC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 TB</w:t>
            </w:r>
          </w:p>
        </w:tc>
      </w:tr>
      <w:tr w14:paraId="46B1E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5B88B65E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23667F1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5 VMs</w:t>
            </w:r>
          </w:p>
        </w:tc>
        <w:tc>
          <w:tcPr>
            <w:tcW w:w="18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1215E483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44 vCPU</w:t>
            </w:r>
          </w:p>
        </w:tc>
        <w:tc>
          <w:tcPr>
            <w:tcW w:w="2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3B0700B4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136 GB</w:t>
            </w:r>
          </w:p>
        </w:tc>
        <w:tc>
          <w:tcPr>
            <w:tcW w:w="18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1E6F5"/>
            <w:vAlign w:val="top"/>
          </w:tcPr>
          <w:p w14:paraId="706CD175">
            <w:pPr>
              <w:pStyle w:val="26"/>
              <w:jc w:val="both"/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 w:val="0"/>
                <w:color w:val="000000"/>
                <w:sz w:val="22"/>
                <w:szCs w:val="22"/>
                <w:lang w:val="en-US"/>
              </w:rPr>
              <w:t>4.5 TB</w:t>
            </w:r>
          </w:p>
        </w:tc>
      </w:tr>
    </w:tbl>
    <w:p w14:paraId="073FDB1D">
      <w:pPr>
        <w:rPr>
          <w:rFonts w:hint="default" w:ascii="Cambria" w:hAnsi="Cambria" w:cs="Cambria"/>
        </w:rPr>
      </w:pPr>
    </w:p>
    <w:p w14:paraId="23353ECD">
      <w:pPr>
        <w:rPr>
          <w:rFonts w:hint="default" w:ascii="Cambria" w:hAnsi="Cambria" w:cs="Cambria"/>
        </w:rPr>
      </w:pPr>
    </w:p>
    <w:p w14:paraId="2158ABF0">
      <w:pPr>
        <w:rPr>
          <w:rFonts w:hint="default" w:ascii="Cambria" w:hAnsi="Cambria" w:cs="Cambria"/>
        </w:rPr>
      </w:pPr>
    </w:p>
    <w:p w14:paraId="3F6C3EC4">
      <w:pPr>
        <w:rPr>
          <w:rFonts w:hint="default" w:ascii="Cambria" w:hAnsi="Cambria" w:cs="Cambria"/>
        </w:rPr>
      </w:pPr>
    </w:p>
    <w:p w14:paraId="1E62493E">
      <w:pPr>
        <w:rPr>
          <w:rFonts w:hint="default" w:ascii="Cambria" w:hAnsi="Cambria" w:cs="Cambria"/>
        </w:rPr>
      </w:pPr>
    </w:p>
    <w:p w14:paraId="2058E7C9">
      <w:pPr>
        <w:rPr>
          <w:rFonts w:hint="default" w:ascii="Cambria" w:hAnsi="Cambria" w:cs="Cambria"/>
        </w:rPr>
      </w:pPr>
    </w:p>
    <w:p w14:paraId="5D5978EC">
      <w:pPr>
        <w:rPr>
          <w:rFonts w:hint="default" w:ascii="Cambria" w:hAnsi="Cambria" w:cs="Cambria"/>
        </w:rPr>
      </w:pPr>
    </w:p>
    <w:p w14:paraId="5B4DE38E">
      <w:pPr>
        <w:rPr>
          <w:rFonts w:hint="default" w:ascii="Cambria" w:hAnsi="Cambria" w:cs="Cambria"/>
        </w:rPr>
      </w:pPr>
    </w:p>
    <w:bookmarkEnd w:id="3"/>
    <w:p w14:paraId="2AB1EA18">
      <w:pPr>
        <w:pStyle w:val="4"/>
        <w:jc w:val="left"/>
        <w:rPr>
          <w:rFonts w:hint="default" w:ascii="Cambria" w:hAnsi="Cambria" w:cs="Cambria"/>
          <w:i/>
          <w:i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bookmarkStart w:id="1" w:name="server-infrastructure-specification"/>
      <w:r>
        <w:t xml:space="preserve">Why the Resources Were Reduced — Sizing Rationale</w:t>
      </w:r>
    </w:p>
    <w:p w14:paraId="5A611669">
      <w:pPr>
        <w:pStyle w:val="3"/>
        <w:rPr>
          <w:rFonts w:hint="default"/>
        </w:rPr>
      </w:pPr>
      <w:r>
        <w:t xml:space="preserve">The first version of this specification was an initial estimate prepared with generous safety margins, before the system's real workload was analysed. After a structured sizing exercise (explained below), the resources were right-sized to what the system actually needs. This section documents how we arrived at the revised numbers, so the allocation can be reviewed objectively.</w:t>
      </w:r>
    </w:p>
    <w:p w14:paraId="2AB1EA18">
      <w:pPr>
        <w:pStyle w:val="4"/>
        <w:jc w:val="left"/>
        <w:rPr>
          <w:rFonts w:hint="default" w:ascii="Cambria" w:hAnsi="Cambria" w:cs="Cambria"/>
          <w:i/>
          <w:i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bookmarkStart w:id="1" w:name="server-infrastructure-specification"/>
      <w:r>
        <w:t xml:space="preserve">How We Did It — the right-sizing method</w:t>
      </w:r>
    </w:p>
    <w:p w14:paraId="5A611669">
      <w:pPr>
        <w:pStyle w:val="3"/>
        <w:rPr>
          <w:rFonts w:hint="default"/>
        </w:rPr>
        <w:ind w:left="360"/>
      </w:pPr>
      <w:r>
        <w:t xml:space="preserve">Measured the real workload. The system polls each ATM once every 60 seconds with ~40 monitored values. We calculated the actual data volume: 5,000 ATMs x 40 values x 1,440 polls/day = around 30 GB/day of history, plus Electronic Journal (EJ) logs of a few GB per day. The storage figures are built from that arithmetic, not from generic supplier templates.</w:t>
      </w:r>
    </w:p>
    <w:p w14:paraId="5A611669">
      <w:pPr>
        <w:pStyle w:val="3"/>
        <w:rPr>
          <w:rFonts w:hint="default"/>
        </w:rPr>
        <w:ind w:left="360"/>
      </w:pPr>
      <w:r>
        <w:t xml:space="preserve">Used the vendors' own sizing guidance. Zabbix publishes its official hardware requirements: for 5,000 monitored hosts it states ~4 vCPU / 8 GB RAM for the server. Our figures (8 vCPU / 16 GB on the application VM) already give double that head room, so the allocation is grounded in documented platform behaviour.</w:t>
      </w:r>
    </w:p>
    <w:p w14:paraId="5A611669">
      <w:pPr>
        <w:pStyle w:val="3"/>
        <w:rPr>
          <w:rFonts w:hint="default"/>
        </w:rPr>
        <w:ind w:left="360"/>
      </w:pPr>
      <w:r>
        <w:t xml:space="preserve">Consolidated the services. The platform is container-based (Docker Compose), so several services that previously had their own VM now share tiered servers. Only the database/search tier (DATA-01) and the ISO 8583 switch gateway (GWY-01) stay separate — they hold the heavy I/O and face the bank's switch. This reduced 5 VMs to 3 with no functional loss.</w:t>
      </w:r>
    </w:p>
    <w:p w14:paraId="5A611669">
      <w:pPr>
        <w:pStyle w:val="3"/>
        <w:rPr>
          <w:rFonts w:hint="default"/>
        </w:rPr>
        <w:ind w:left="360"/>
      </w:pPr>
      <w:r>
        <w:t xml:space="preserve">Right-sized storage by retention policy. Storage is driven by how long data is kept, not by the infrastructure. Holding ~2.5 years of searchable Electronic Journal data plus full database history gives ~4 TB. If the bank later accepts a 12-month search window with archiving, even that drops to ~2.5 TB. The number follows directly from the retention policy the bank chose.</w:t>
      </w:r>
    </w:p>
    <w:p w14:paraId="5A611669">
      <w:pPr>
        <w:pStyle w:val="3"/>
        <w:rPr>
          <w:rFonts w:hint="default"/>
        </w:rPr>
        <w:ind w:left="360"/>
      </w:pPr>
      <w:r>
        <w:t xml:space="preserve">Deliberate headroom only where it counts. The application VM is twice Zabbix's documented need so dashboards and reports have spare capability; we did not buy 3-node clusters or HA replicas because the system's scale and recovery time do not justify them. That is where the original estimate over-spent and where most of the reduction comes from.</w:t>
      </w:r>
    </w:p>
    <w:p w14:paraId="5A611669">
      <w:pPr>
        <w:pStyle w:val="3"/>
        <w:rPr>
          <w:rFonts w:hint="default"/>
        </w:rPr>
        <w:ind w:left="360"/>
      </w:pPr>
      <w:r>
        <w:t xml:space="preserve">Confirmed by load test, not just theory. Before production procurement we will run a measured load test (the project already simulates the full ATM fleet). If real growth exceeds the estimate, we add disk/vCPU at cost instead of over-provisioning from day one.</w:t>
      </w:r>
    </w:p>
    <w:p w14:paraId="5A611669">
      <w:pPr>
        <w:pStyle w:val="3"/>
        <w:rPr>
          <w:rFonts w:hint="default"/>
        </w:rPr>
      </w:pPr>
      <w:r>
        <w:t xml:space="preserve">Why the higher figure was reasonable then, and why this lower figure is right now: the first specification was a conservative first pass made before the workload was known; it intentionally left wide margins. This revision follows the same engineering exercise that produced the shared numbers — the lower figure is the result of measuring the work, not of cutting corners. Neither the system's functionality nor its performance window is reduced: all services, reports, alerts and the 3-year retention the bank requested remain unchanged.</w:t>
      </w:r>
    </w:p>
    <w:p w14:paraId="196149B0">
      <w:pPr>
        <w:pStyle w:val="25"/>
        <w:ind w:left="-720" w:leftChars="-300" w:firstLine="0" w:firstLineChars="0"/>
        <w:jc w:val="left"/>
        <w:rPr>
          <w:rFonts w:hint="default" w:ascii="Cambria" w:hAnsi="Cambria" w:cs="Cambria"/>
          <w:sz w:val="22"/>
          <w:szCs w:val="22"/>
        </w:rPr>
      </w:pPr>
      <w:bookmarkStart w:id="4" w:name="infrastructure-philosophy"/>
      <w:r>
        <w:rPr>
          <w:rFonts w:hint="default" w:ascii="Cambria" w:hAnsi="Cambria" w:cs="Cambria"/>
          <w:b/>
          <w:bCs/>
          <w:i/>
          <w:iCs/>
          <w:color w:val="808080" w:themeColor="background1" w:themeShade="80"/>
          <w:sz w:val="22"/>
          <w:szCs w:val="22"/>
        </w:rPr>
        <w:t>Prepared by: IT Modernization Program Management Department</w:t>
      </w:r>
      <w:r>
        <w:rPr>
          <w:rFonts w:hint="default" w:ascii="Cambria" w:hAnsi="Cambria" w:cs="Cambria"/>
          <w:b/>
          <w:bCs/>
          <w:i/>
          <w:iCs/>
          <w:color w:val="808080" w:themeColor="background1" w:themeShade="80"/>
          <w:sz w:val="22"/>
          <w:szCs w:val="22"/>
        </w:rPr>
        <w:br w:type="textWrapping"/>
      </w:r>
      <w:r>
        <w:rPr>
          <w:rFonts w:hint="default" w:ascii="Cambria" w:hAnsi="Cambria" w:cs="Cambria"/>
          <w:b/>
          <w:bCs/>
          <w:i/>
          <w:iCs/>
          <w:color w:val="808080" w:themeColor="background1" w:themeShade="80"/>
          <w:sz w:val="22"/>
          <w:szCs w:val="22"/>
        </w:rPr>
        <w:t>Date: June 2026</w:t>
      </w:r>
      <w:r>
        <w:rPr>
          <w:rFonts w:hint="default" w:ascii="Cambria" w:hAnsi="Cambria" w:cs="Cambria"/>
          <w:b/>
          <w:bCs/>
          <w:i/>
          <w:iCs/>
          <w:color w:val="808080" w:themeColor="background1" w:themeShade="80"/>
          <w:sz w:val="22"/>
          <w:szCs w:val="22"/>
        </w:rPr>
        <w:br w:type="textWrapping"/>
      </w:r>
      <w:r>
        <w:rPr>
          <w:rFonts w:hint="default" w:ascii="Cambria" w:hAnsi="Cambria" w:cs="Cambria"/>
          <w:b/>
          <w:bCs/>
          <w:i/>
          <w:iCs/>
          <w:color w:val="808080" w:themeColor="background1" w:themeShade="80"/>
          <w:sz w:val="22"/>
          <w:szCs w:val="22"/>
        </w:rPr>
        <w:t>Scope: Production Deployment — up to 5,000 ATMs, 3-Year Data Retention</w:t>
      </w:r>
    </w:p>
    <w:bookmarkEnd w:id="0"/>
    <w:bookmarkEnd w:id="4"/>
    <w:sectPr>
      <w:headerReference r:id="rId4" w:type="default"/>
      <w:footnotePr>
        <w:numRestart w:val="eachSect"/>
      </w:footnotePr>
      <w:pgMar w:top="120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7CBBB">
    <w:pPr>
      <w:pStyle w:val="21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-1152525</wp:posOffset>
          </wp:positionH>
          <wp:positionV relativeFrom="paragraph">
            <wp:posOffset>-457200</wp:posOffset>
          </wp:positionV>
          <wp:extent cx="7781290" cy="896620"/>
          <wp:effectExtent l="0" t="0" r="3810" b="508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/>
                  <a:srcRect t="11792" b="17980"/>
                  <a:stretch>
                    <a:fillRect/>
                  </a:stretch>
                </pic:blipFill>
                <pic:spPr>
                  <a:xfrm>
                    <a:off x="0" y="0"/>
                    <a:ext cx="7781290" cy="896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17D47"/>
    <w:multiLevelType w:val="singleLevel"/>
    <w:tmpl w:val="CF317D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662EDAB"/>
    <w:multiLevelType w:val="singleLevel"/>
    <w:tmpl w:val="D662EDA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9A63AD6"/>
    <w:multiLevelType w:val="singleLevel"/>
    <w:tmpl w:val="69A63AD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6D05494"/>
    <w:multiLevelType w:val="singleLevel"/>
    <w:tmpl w:val="76D0549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61754"/>
    <w:rsid w:val="136E443B"/>
    <w:rsid w:val="177F1EDD"/>
    <w:rsid w:val="2B671E6F"/>
    <w:rsid w:val="38443D20"/>
    <w:rsid w:val="48555732"/>
    <w:rsid w:val="52E75090"/>
    <w:rsid w:val="62C7062B"/>
    <w:rsid w:val="737618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paragraph" w:styleId="2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2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9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9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255</Words>
  <Characters>1326</Characters>
  <Lines>12</Lines>
  <Paragraphs>8</Paragraphs>
  <TotalTime>56</TotalTime>
  <ScaleCrop>false</ScaleCrop>
  <LinksUpToDate>false</LinksUpToDate>
  <CharactersWithSpaces>1504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2026-06-22T11:45:00Z</dcterms:created>
  <dc:creator>Tewodros Habtamu</dc:creator>
  <cp:lastModifiedBy>Tewodros Habtamu</cp:lastModifiedBy>
  <dcterms:modified xsi:type="dcterms:W3CDTF">2026-08-06T19:40:09Z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eyJoZGlkIjoiYmZlNzU2ZTlhZTkzZmFlOGE1MjRkNGMxMTA1MmMzM2MiLCJ1c2VySWQiOiIzNzI4NTEyNDk2MTQzIn0=</vt:lpwstr>
  </property>
  <property fmtid="{D5CDD505-2E9C-101B-9397-08002B2CF9AE}" pid="3" name="KSOProductBuildVer">
    <vt:lpwstr>1033-12.1.0.28032</vt:lpwstr>
  </property>
  <property fmtid="{D5CDD505-2E9C-101B-9397-08002B2CF9AE}" pid="4" name="ICV">
    <vt:lpwstr>D453CB00FD2043679BCF50BBF3F4390F_13</vt:lpwstr>
  </property>
</Properties>
</file>