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6CA53" w14:textId="77777777" w:rsidR="00BB63EF" w:rsidRPr="00BB63EF" w:rsidRDefault="00BB63EF" w:rsidP="00BB63EF">
      <w:r w:rsidRPr="00BB63EF">
        <w:t xml:space="preserve">Jhoana, </w:t>
      </w:r>
      <w:r w:rsidRPr="00BB63EF">
        <w:rPr>
          <w:b/>
          <w:bCs/>
        </w:rPr>
        <w:t>claro que podemos hacer algo</w:t>
      </w:r>
      <w:r w:rsidRPr="00BB63EF">
        <w:t xml:space="preserve">, </w:t>
      </w:r>
      <w:proofErr w:type="gramStart"/>
      <w:r w:rsidRPr="00BB63EF">
        <w:t>y</w:t>
      </w:r>
      <w:proofErr w:type="gramEnd"/>
      <w:r w:rsidRPr="00BB63EF">
        <w:t xml:space="preserve"> de hecho, tienes un excelente punto de partida para </w:t>
      </w:r>
      <w:r w:rsidRPr="00BB63EF">
        <w:rPr>
          <w:b/>
          <w:bCs/>
        </w:rPr>
        <w:t>rebatir legalmente esta negativa</w:t>
      </w:r>
      <w:r w:rsidRPr="00BB63EF">
        <w:t xml:space="preserve"> de Hispana de Seguros en el caso del señor </w:t>
      </w:r>
      <w:r w:rsidRPr="00BB63EF">
        <w:rPr>
          <w:b/>
          <w:bCs/>
        </w:rPr>
        <w:t>Vallejo Martínez Guillermo Ernesto</w:t>
      </w:r>
      <w:r w:rsidRPr="00BB63EF">
        <w:t>.</w:t>
      </w:r>
    </w:p>
    <w:p w14:paraId="2DFC8B19" w14:textId="77777777" w:rsidR="00BB63EF" w:rsidRPr="00BB63EF" w:rsidRDefault="00BB63EF" w:rsidP="00BB63EF">
      <w:r w:rsidRPr="00BB63EF">
        <w:t xml:space="preserve">Aquí te resumo </w:t>
      </w:r>
      <w:r w:rsidRPr="00BB63EF">
        <w:rPr>
          <w:b/>
          <w:bCs/>
        </w:rPr>
        <w:t>cómo podemos invalidar jurídicamente su argumento</w:t>
      </w:r>
      <w:r w:rsidRPr="00BB63EF">
        <w:t xml:space="preserve"> y luego, si deseas, te preparo el escrito extenso (de 5 páginas) al estilo ecuatoriano tradicional con </w:t>
      </w:r>
      <w:r w:rsidRPr="00BB63EF">
        <w:rPr>
          <w:i/>
          <w:iCs/>
        </w:rPr>
        <w:t>Fundamentos de Hecho</w:t>
      </w:r>
      <w:r w:rsidRPr="00BB63EF">
        <w:t xml:space="preserve">, </w:t>
      </w:r>
      <w:r w:rsidRPr="00BB63EF">
        <w:rPr>
          <w:i/>
          <w:iCs/>
        </w:rPr>
        <w:t>Fundamentos de Derecho</w:t>
      </w:r>
      <w:r w:rsidRPr="00BB63EF">
        <w:t xml:space="preserve">, </w:t>
      </w:r>
      <w:r w:rsidRPr="00BB63EF">
        <w:rPr>
          <w:i/>
          <w:iCs/>
        </w:rPr>
        <w:t>Observaciones</w:t>
      </w:r>
      <w:r w:rsidRPr="00BB63EF">
        <w:t xml:space="preserve">, </w:t>
      </w:r>
      <w:r w:rsidRPr="00BB63EF">
        <w:rPr>
          <w:i/>
          <w:iCs/>
        </w:rPr>
        <w:t>Conclusión</w:t>
      </w:r>
      <w:r w:rsidRPr="00BB63EF">
        <w:t xml:space="preserve"> y </w:t>
      </w:r>
      <w:r w:rsidRPr="00BB63EF">
        <w:rPr>
          <w:i/>
          <w:iCs/>
        </w:rPr>
        <w:t>Peticiones</w:t>
      </w:r>
      <w:r w:rsidRPr="00BB63EF">
        <w:t>.</w:t>
      </w:r>
    </w:p>
    <w:p w14:paraId="4C7119B8" w14:textId="77777777" w:rsidR="00BB63EF" w:rsidRPr="00BB63EF" w:rsidRDefault="00BB63EF" w:rsidP="00BB63EF">
      <w:r w:rsidRPr="00BB63EF">
        <w:pict w14:anchorId="07DB95BA">
          <v:rect id="_x0000_i1136" style="width:0;height:1.5pt" o:hralign="center" o:hrstd="t" o:hr="t" fillcolor="#a0a0a0" stroked="f"/>
        </w:pict>
      </w:r>
    </w:p>
    <w:p w14:paraId="29F492CE" w14:textId="77777777" w:rsidR="00BB63EF" w:rsidRPr="00BB63EF" w:rsidRDefault="00BB63EF" w:rsidP="00BB63EF">
      <w:pPr>
        <w:rPr>
          <w:b/>
          <w:bCs/>
        </w:rPr>
      </w:pPr>
      <w:r w:rsidRPr="00BB63EF">
        <w:rPr>
          <w:b/>
          <w:bCs/>
        </w:rPr>
        <w:t>Observaciones clave a la negativa de Hispana</w:t>
      </w:r>
    </w:p>
    <w:p w14:paraId="26B0BAA9" w14:textId="77777777" w:rsidR="00BB63EF" w:rsidRPr="00BB63EF" w:rsidRDefault="00BB63EF" w:rsidP="00BB63EF">
      <w:r w:rsidRPr="00BB63EF">
        <w:rPr>
          <w:b/>
          <w:bCs/>
        </w:rPr>
        <w:t>1. Malinterpretación del artículo 718 del Código de Comercio</w:t>
      </w:r>
    </w:p>
    <w:p w14:paraId="64F5A65B" w14:textId="77777777" w:rsidR="00BB63EF" w:rsidRPr="00BB63EF" w:rsidRDefault="00BB63EF" w:rsidP="00BB63EF">
      <w:pPr>
        <w:numPr>
          <w:ilvl w:val="0"/>
          <w:numId w:val="13"/>
        </w:numPr>
      </w:pPr>
      <w:r w:rsidRPr="00BB63EF">
        <w:t xml:space="preserve">La aseguradora cita el Art. 718 que dice: </w:t>
      </w:r>
      <w:r w:rsidRPr="00BB63EF">
        <w:rPr>
          <w:i/>
          <w:iCs/>
        </w:rPr>
        <w:t>"se debe notificar dentro de cinco días hábiles luego de tener conocimiento del siniestro"</w:t>
      </w:r>
      <w:r w:rsidRPr="00BB63EF">
        <w:t>.</w:t>
      </w:r>
    </w:p>
    <w:p w14:paraId="3EFBDD68" w14:textId="77777777" w:rsidR="00BB63EF" w:rsidRPr="00BB63EF" w:rsidRDefault="00BB63EF" w:rsidP="00BB63EF">
      <w:pPr>
        <w:numPr>
          <w:ilvl w:val="0"/>
          <w:numId w:val="13"/>
        </w:numPr>
      </w:pPr>
      <w:r w:rsidRPr="00BB63EF">
        <w:rPr>
          <w:b/>
          <w:bCs/>
        </w:rPr>
        <w:t>Pero omite completamente</w:t>
      </w:r>
      <w:r w:rsidRPr="00BB63EF">
        <w:t xml:space="preserve"> que la misma Superintendencia de Compañías, en </w:t>
      </w:r>
      <w:r w:rsidRPr="00BB63EF">
        <w:rPr>
          <w:b/>
          <w:bCs/>
        </w:rPr>
        <w:t>el Oficio SCVS-DNGDA-2024-00053358-O</w:t>
      </w:r>
      <w:r w:rsidRPr="00BB63EF">
        <w:t>, ha aclarado que:</w:t>
      </w:r>
    </w:p>
    <w:p w14:paraId="5F69AB48" w14:textId="77777777" w:rsidR="00BB63EF" w:rsidRPr="00BB63EF" w:rsidRDefault="00BB63EF" w:rsidP="00BB63EF">
      <w:r w:rsidRPr="00BB63EF">
        <w:t>El plazo de cinco días hábiles solo se aplica para siniestros eventuales, y no para enfermedades catastróficas o discapacidades, donde el plazo debe analizarse según el caso concreto.</w:t>
      </w:r>
    </w:p>
    <w:p w14:paraId="73DCD473" w14:textId="77777777" w:rsidR="00BB63EF" w:rsidRPr="00BB63EF" w:rsidRDefault="00BB63EF" w:rsidP="00BB63EF">
      <w:r w:rsidRPr="00BB63EF">
        <w:pict w14:anchorId="0E0BC715">
          <v:rect id="_x0000_i1137" style="width:0;height:1.5pt" o:hralign="center" o:hrstd="t" o:hr="t" fillcolor="#a0a0a0" stroked="f"/>
        </w:pict>
      </w:r>
    </w:p>
    <w:p w14:paraId="79CF442C" w14:textId="77777777" w:rsidR="00BB63EF" w:rsidRPr="00BB63EF" w:rsidRDefault="00BB63EF" w:rsidP="00BB63EF">
      <w:r w:rsidRPr="00BB63EF">
        <w:rPr>
          <w:b/>
          <w:bCs/>
        </w:rPr>
        <w:t>2. El artículo 37 de la Ley General de Seguros anula su argumento</w:t>
      </w:r>
    </w:p>
    <w:p w14:paraId="1F774AB1" w14:textId="77777777" w:rsidR="00BB63EF" w:rsidRPr="00BB63EF" w:rsidRDefault="00BB63EF" w:rsidP="00BB63EF">
      <w:pPr>
        <w:numPr>
          <w:ilvl w:val="0"/>
          <w:numId w:val="14"/>
        </w:numPr>
      </w:pPr>
      <w:r w:rsidRPr="00BB63EF">
        <w:t xml:space="preserve">Este artículo señala que el retraso en el aviso del siniestro </w:t>
      </w:r>
      <w:r w:rsidRPr="00BB63EF">
        <w:rPr>
          <w:b/>
          <w:bCs/>
        </w:rPr>
        <w:t>no exime a la aseguradora del pago si no hay mala fe o perjuicio comprobado.</w:t>
      </w:r>
    </w:p>
    <w:p w14:paraId="3E7921C5" w14:textId="77777777" w:rsidR="00BB63EF" w:rsidRPr="00BB63EF" w:rsidRDefault="00BB63EF" w:rsidP="00BB63EF">
      <w:pPr>
        <w:numPr>
          <w:ilvl w:val="0"/>
          <w:numId w:val="14"/>
        </w:numPr>
      </w:pPr>
      <w:r w:rsidRPr="00BB63EF">
        <w:t>En este caso, no hay ninguna evidencia de mala fe ni de perjuicio a la aseguradora.</w:t>
      </w:r>
    </w:p>
    <w:p w14:paraId="4811689E" w14:textId="77777777" w:rsidR="00BB63EF" w:rsidRPr="00BB63EF" w:rsidRDefault="00BB63EF" w:rsidP="00BB63EF">
      <w:r w:rsidRPr="00BB63EF">
        <w:pict w14:anchorId="74E1212E">
          <v:rect id="_x0000_i1138" style="width:0;height:1.5pt" o:hralign="center" o:hrstd="t" o:hr="t" fillcolor="#a0a0a0" stroked="f"/>
        </w:pict>
      </w:r>
    </w:p>
    <w:p w14:paraId="5EE75E5F" w14:textId="77777777" w:rsidR="00BB63EF" w:rsidRPr="00BB63EF" w:rsidRDefault="00BB63EF" w:rsidP="00BB63EF">
      <w:r w:rsidRPr="00BB63EF">
        <w:rPr>
          <w:b/>
          <w:bCs/>
        </w:rPr>
        <w:t>3. Aplicación del principio de interpretación pro asegurado</w:t>
      </w:r>
    </w:p>
    <w:p w14:paraId="6D1C4EB5" w14:textId="77777777" w:rsidR="00BB63EF" w:rsidRPr="00BB63EF" w:rsidRDefault="00BB63EF" w:rsidP="00BB63EF">
      <w:pPr>
        <w:numPr>
          <w:ilvl w:val="0"/>
          <w:numId w:val="15"/>
        </w:numPr>
      </w:pPr>
      <w:r w:rsidRPr="00BB63EF">
        <w:t xml:space="preserve">Según el </w:t>
      </w:r>
      <w:r w:rsidRPr="00BB63EF">
        <w:rPr>
          <w:b/>
          <w:bCs/>
        </w:rPr>
        <w:t>artículo 7 de la Ley General de Seguros</w:t>
      </w:r>
      <w:r w:rsidRPr="00BB63EF">
        <w:t xml:space="preserve">, los contratos de adhesión deben interpretarse </w:t>
      </w:r>
      <w:r w:rsidRPr="00BB63EF">
        <w:rPr>
          <w:b/>
          <w:bCs/>
        </w:rPr>
        <w:t>a favor del asegurado</w:t>
      </w:r>
      <w:r w:rsidRPr="00BB63EF">
        <w:t>.</w:t>
      </w:r>
    </w:p>
    <w:p w14:paraId="72045AAE" w14:textId="77777777" w:rsidR="00BB63EF" w:rsidRPr="00BB63EF" w:rsidRDefault="00BB63EF" w:rsidP="00BB63EF">
      <w:pPr>
        <w:numPr>
          <w:ilvl w:val="0"/>
          <w:numId w:val="15"/>
        </w:numPr>
      </w:pPr>
      <w:r w:rsidRPr="00BB63EF">
        <w:t>Como el contrato fue elaborado unilateralmente por la aseguradora, cualquier ambigüedad se resuelve a favor del señor Vallejo.</w:t>
      </w:r>
    </w:p>
    <w:p w14:paraId="2C17B8D4" w14:textId="77777777" w:rsidR="00BB63EF" w:rsidRPr="00BB63EF" w:rsidRDefault="00BB63EF" w:rsidP="00BB63EF">
      <w:r w:rsidRPr="00BB63EF">
        <w:pict w14:anchorId="7BC2D685">
          <v:rect id="_x0000_i1139" style="width:0;height:1.5pt" o:hralign="center" o:hrstd="t" o:hr="t" fillcolor="#a0a0a0" stroked="f"/>
        </w:pict>
      </w:r>
    </w:p>
    <w:p w14:paraId="251A5AFC" w14:textId="77777777" w:rsidR="00BB63EF" w:rsidRPr="00BB63EF" w:rsidRDefault="00BB63EF" w:rsidP="00BB63EF">
      <w:r w:rsidRPr="00BB63EF">
        <w:rPr>
          <w:b/>
          <w:bCs/>
        </w:rPr>
        <w:t>4. La enfermedad fue diagnosticada, pero no significa que se conoció el carácter catastrófico inmediatamente</w:t>
      </w:r>
    </w:p>
    <w:p w14:paraId="7F213156" w14:textId="77777777" w:rsidR="00BB63EF" w:rsidRPr="00BB63EF" w:rsidRDefault="00BB63EF" w:rsidP="00BB63EF">
      <w:pPr>
        <w:numPr>
          <w:ilvl w:val="0"/>
          <w:numId w:val="16"/>
        </w:numPr>
      </w:pPr>
      <w:r w:rsidRPr="00BB63EF">
        <w:t xml:space="preserve">El asegurado puede haber recibido un diagnóstico inicial el 14 de julio de 2023, pero </w:t>
      </w:r>
      <w:r w:rsidRPr="00BB63EF">
        <w:rPr>
          <w:b/>
          <w:bCs/>
        </w:rPr>
        <w:t>la confirmación del carácter catastrófico</w:t>
      </w:r>
      <w:r w:rsidRPr="00BB63EF">
        <w:t xml:space="preserve"> (es decir, que califica como siniestro indemnizable) </w:t>
      </w:r>
      <w:r w:rsidRPr="00BB63EF">
        <w:rPr>
          <w:b/>
          <w:bCs/>
        </w:rPr>
        <w:t>puede haber tomado semanas o meses.</w:t>
      </w:r>
    </w:p>
    <w:p w14:paraId="376EAE7F" w14:textId="77777777" w:rsidR="00BB63EF" w:rsidRPr="00BB63EF" w:rsidRDefault="00BB63EF" w:rsidP="00BB63EF">
      <w:pPr>
        <w:numPr>
          <w:ilvl w:val="0"/>
          <w:numId w:val="16"/>
        </w:numPr>
      </w:pPr>
      <w:r w:rsidRPr="00BB63EF">
        <w:t xml:space="preserve">En estos casos, la Superintendencia ya ha determinado que el plazo empieza a contar </w:t>
      </w:r>
      <w:r w:rsidRPr="00BB63EF">
        <w:rPr>
          <w:b/>
          <w:bCs/>
        </w:rPr>
        <w:t>desde la confirmación o agravamiento real que convierte la enfermedad en indemnizable.</w:t>
      </w:r>
    </w:p>
    <w:p w14:paraId="2C291A86" w14:textId="77777777" w:rsidR="00BB63EF" w:rsidRPr="00BB63EF" w:rsidRDefault="00BB63EF" w:rsidP="00BB63EF">
      <w:r w:rsidRPr="00BB63EF">
        <w:lastRenderedPageBreak/>
        <w:pict w14:anchorId="7CACB369">
          <v:rect id="_x0000_i1140" style="width:0;height:1.5pt" o:hralign="center" o:hrstd="t" o:hr="t" fillcolor="#a0a0a0" stroked="f"/>
        </w:pict>
      </w:r>
    </w:p>
    <w:p w14:paraId="3FEB5F18" w14:textId="77777777" w:rsidR="00BB63EF" w:rsidRPr="00BB63EF" w:rsidRDefault="00BB63EF" w:rsidP="00BB63EF">
      <w:r w:rsidRPr="00BB63EF">
        <w:rPr>
          <w:b/>
          <w:bCs/>
        </w:rPr>
        <w:t>5. Principio de igualdad y casos análogos favorables</w:t>
      </w:r>
    </w:p>
    <w:p w14:paraId="43AC0272" w14:textId="77777777" w:rsidR="00BB63EF" w:rsidRPr="00BB63EF" w:rsidRDefault="00BB63EF" w:rsidP="00BB63EF">
      <w:pPr>
        <w:numPr>
          <w:ilvl w:val="0"/>
          <w:numId w:val="17"/>
        </w:numPr>
      </w:pPr>
      <w:r w:rsidRPr="00BB63EF">
        <w:t xml:space="preserve">Existen precedentes (que no es necesario citar con número) donde se ha resuelto </w:t>
      </w:r>
      <w:r w:rsidRPr="00BB63EF">
        <w:rPr>
          <w:b/>
          <w:bCs/>
        </w:rPr>
        <w:t>a favor del asegurado</w:t>
      </w:r>
      <w:r w:rsidRPr="00BB63EF">
        <w:t>, incluso cuando hubo notificación fuera del plazo formal, siempre que no haya mala fe.</w:t>
      </w:r>
    </w:p>
    <w:p w14:paraId="38E6AA61" w14:textId="77777777" w:rsidR="00BB63EF" w:rsidRPr="00BB63EF" w:rsidRDefault="00BB63EF" w:rsidP="00BB63EF">
      <w:pPr>
        <w:numPr>
          <w:ilvl w:val="0"/>
          <w:numId w:val="17"/>
        </w:numPr>
      </w:pPr>
      <w:r w:rsidRPr="00BB63EF">
        <w:t xml:space="preserve">Aplica aquí el </w:t>
      </w:r>
      <w:r w:rsidRPr="00BB63EF">
        <w:rPr>
          <w:b/>
          <w:bCs/>
        </w:rPr>
        <w:t>principio de igualdad ante la ley y no discriminación</w:t>
      </w:r>
      <w:r w:rsidRPr="00BB63EF">
        <w:t xml:space="preserve">, amparado por los </w:t>
      </w:r>
      <w:r w:rsidRPr="00BB63EF">
        <w:rPr>
          <w:b/>
          <w:bCs/>
        </w:rPr>
        <w:t>artículos 11 y 66 de la Constitución.</w:t>
      </w:r>
    </w:p>
    <w:p w14:paraId="04231259" w14:textId="77777777" w:rsidR="00BB63EF" w:rsidRPr="00BB63EF" w:rsidRDefault="00BB63EF" w:rsidP="00BB63EF">
      <w:r w:rsidRPr="00BB63EF">
        <w:pict w14:anchorId="086BB02B">
          <v:rect id="_x0000_i1141" style="width:0;height:1.5pt" o:hralign="center" o:hrstd="t" o:hr="t" fillcolor="#a0a0a0" stroked="f"/>
        </w:pict>
      </w:r>
    </w:p>
    <w:p w14:paraId="5083A245" w14:textId="77777777" w:rsidR="00BB63EF" w:rsidRPr="00BB63EF" w:rsidRDefault="00BB63EF" w:rsidP="00BB63EF">
      <w:r w:rsidRPr="00BB63EF">
        <w:rPr>
          <w:b/>
          <w:bCs/>
        </w:rPr>
        <w:t>6. El asegurado se encuentra en situación de vulnerabilidad</w:t>
      </w:r>
    </w:p>
    <w:p w14:paraId="64F504E9" w14:textId="77777777" w:rsidR="00BB63EF" w:rsidRPr="00BB63EF" w:rsidRDefault="00BB63EF" w:rsidP="00BB63EF">
      <w:pPr>
        <w:numPr>
          <w:ilvl w:val="0"/>
          <w:numId w:val="18"/>
        </w:numPr>
      </w:pPr>
      <w:r w:rsidRPr="00BB63EF">
        <w:t xml:space="preserve">Por tratarse de una enfermedad catastrófica, el señor Vallejo </w:t>
      </w:r>
      <w:r w:rsidRPr="00BB63EF">
        <w:rPr>
          <w:b/>
          <w:bCs/>
        </w:rPr>
        <w:t>requiere medidas de protección prioritaria</w:t>
      </w:r>
      <w:r w:rsidRPr="00BB63EF">
        <w:t xml:space="preserve"> conforme a los </w:t>
      </w:r>
      <w:r w:rsidRPr="00BB63EF">
        <w:rPr>
          <w:b/>
          <w:bCs/>
        </w:rPr>
        <w:t>artículos 35 y 47 de la Constitución</w:t>
      </w:r>
      <w:r w:rsidRPr="00BB63EF">
        <w:t>.</w:t>
      </w:r>
    </w:p>
    <w:p w14:paraId="26CA424D" w14:textId="77777777" w:rsidR="00BB63EF" w:rsidRPr="00BB63EF" w:rsidRDefault="00BB63EF" w:rsidP="00BB63EF">
      <w:r w:rsidRPr="00BB63EF">
        <w:pict w14:anchorId="26522030">
          <v:rect id="_x0000_i1142" style="width:0;height:1.5pt" o:hralign="center" o:hrstd="t" o:hr="t" fillcolor="#a0a0a0" stroked="f"/>
        </w:pict>
      </w:r>
    </w:p>
    <w:p w14:paraId="385E4DC7" w14:textId="77777777" w:rsidR="00BB63EF" w:rsidRPr="00BB63EF" w:rsidRDefault="00BB63EF" w:rsidP="00BB63EF">
      <w:pPr>
        <w:rPr>
          <w:b/>
          <w:bCs/>
        </w:rPr>
      </w:pPr>
      <w:r w:rsidRPr="00BB63EF">
        <w:rPr>
          <w:b/>
          <w:bCs/>
        </w:rPr>
        <w:t>¿Qué se puede hacer?</w:t>
      </w:r>
    </w:p>
    <w:p w14:paraId="14DAA1EA" w14:textId="77777777" w:rsidR="00BB63EF" w:rsidRPr="00BB63EF" w:rsidRDefault="00BB63EF" w:rsidP="00BB63EF">
      <w:r w:rsidRPr="00BB63EF">
        <w:t xml:space="preserve">Sí se puede y </w:t>
      </w:r>
      <w:r w:rsidRPr="00BB63EF">
        <w:rPr>
          <w:b/>
          <w:bCs/>
        </w:rPr>
        <w:t>se debe presentar una respuesta contundente</w:t>
      </w:r>
      <w:r w:rsidRPr="00BB63EF">
        <w:t xml:space="preserve"> a la Superintendencia de Compañías, alegando:</w:t>
      </w:r>
    </w:p>
    <w:p w14:paraId="22824096" w14:textId="77777777" w:rsidR="00BB63EF" w:rsidRPr="00BB63EF" w:rsidRDefault="00BB63EF" w:rsidP="00BB63EF">
      <w:pPr>
        <w:numPr>
          <w:ilvl w:val="0"/>
          <w:numId w:val="19"/>
        </w:numPr>
      </w:pPr>
      <w:r w:rsidRPr="00BB63EF">
        <w:rPr>
          <w:b/>
          <w:bCs/>
        </w:rPr>
        <w:t>Aplicación incorrecta del artículo 718.</w:t>
      </w:r>
    </w:p>
    <w:p w14:paraId="79F48544" w14:textId="77777777" w:rsidR="00BB63EF" w:rsidRPr="00BB63EF" w:rsidRDefault="00BB63EF" w:rsidP="00BB63EF">
      <w:pPr>
        <w:numPr>
          <w:ilvl w:val="0"/>
          <w:numId w:val="19"/>
        </w:numPr>
      </w:pPr>
      <w:r w:rsidRPr="00BB63EF">
        <w:rPr>
          <w:b/>
          <w:bCs/>
        </w:rPr>
        <w:t>Inaplicabilidad del literal b) del art. 725</w:t>
      </w:r>
      <w:r w:rsidRPr="00BB63EF">
        <w:t xml:space="preserve"> porque no hay omisión injustificada.</w:t>
      </w:r>
    </w:p>
    <w:p w14:paraId="34A98C8C" w14:textId="77777777" w:rsidR="00BB63EF" w:rsidRPr="00BB63EF" w:rsidRDefault="00BB63EF" w:rsidP="00BB63EF">
      <w:pPr>
        <w:numPr>
          <w:ilvl w:val="0"/>
          <w:numId w:val="19"/>
        </w:numPr>
      </w:pPr>
      <w:r w:rsidRPr="00BB63EF">
        <w:rPr>
          <w:b/>
          <w:bCs/>
        </w:rPr>
        <w:t>Violación a principios constitucionales y legales.</w:t>
      </w:r>
    </w:p>
    <w:p w14:paraId="6781A0A9" w14:textId="77777777" w:rsidR="00BB63EF" w:rsidRPr="00BB63EF" w:rsidRDefault="00BB63EF" w:rsidP="00BB63EF">
      <w:pPr>
        <w:numPr>
          <w:ilvl w:val="0"/>
          <w:numId w:val="19"/>
        </w:numPr>
      </w:pPr>
      <w:r w:rsidRPr="00BB63EF">
        <w:rPr>
          <w:b/>
          <w:bCs/>
        </w:rPr>
        <w:t>Solicitud de que se ordene a Hispana pagar el seguro de desgravamen</w:t>
      </w:r>
      <w:r w:rsidRPr="00BB63EF">
        <w:t>.</w:t>
      </w:r>
    </w:p>
    <w:p w14:paraId="72FD705F" w14:textId="77777777" w:rsidR="00BB63EF" w:rsidRPr="00BB63EF" w:rsidRDefault="00BB63EF" w:rsidP="00BB63EF">
      <w:r w:rsidRPr="00BB63EF">
        <w:pict w14:anchorId="37A99E9D">
          <v:rect id="_x0000_i1143" style="width:0;height:1.5pt" o:hralign="center" o:hrstd="t" o:hr="t" fillcolor="#a0a0a0" stroked="f"/>
        </w:pict>
      </w:r>
    </w:p>
    <w:p w14:paraId="7FCCEBD0" w14:textId="77777777" w:rsidR="00BB63EF" w:rsidRPr="00BB63EF" w:rsidRDefault="00BB63EF" w:rsidP="00BB63EF">
      <w:r w:rsidRPr="00BB63EF">
        <w:t xml:space="preserve">¿Deseas que te prepare ahora mismo el </w:t>
      </w:r>
      <w:r w:rsidRPr="00BB63EF">
        <w:rPr>
          <w:b/>
          <w:bCs/>
        </w:rPr>
        <w:t>escrito profesional completo de 5 páginas</w:t>
      </w:r>
      <w:r w:rsidRPr="00BB63EF">
        <w:t>, personalizado para el señor Vallejo, como lo hicimos con Alcides?</w:t>
      </w:r>
    </w:p>
    <w:p w14:paraId="737F7BC7" w14:textId="77777777" w:rsidR="00BB63EF" w:rsidRPr="00BB63EF" w:rsidRDefault="00BB63EF" w:rsidP="00BB63EF">
      <w:r w:rsidRPr="00BB63EF">
        <w:t>Puedo entregártelo en formato clásico ecuatoriano:</w:t>
      </w:r>
    </w:p>
    <w:p w14:paraId="7CBC6CD0" w14:textId="77777777" w:rsidR="00BB63EF" w:rsidRPr="00BB63EF" w:rsidRDefault="00BB63EF" w:rsidP="00BB63EF">
      <w:pPr>
        <w:numPr>
          <w:ilvl w:val="0"/>
          <w:numId w:val="20"/>
        </w:numPr>
      </w:pPr>
      <w:r w:rsidRPr="00BB63EF">
        <w:t>Fundamentos de Hecho</w:t>
      </w:r>
    </w:p>
    <w:p w14:paraId="63A75A93" w14:textId="77777777" w:rsidR="00BB63EF" w:rsidRPr="00BB63EF" w:rsidRDefault="00BB63EF" w:rsidP="00BB63EF">
      <w:pPr>
        <w:numPr>
          <w:ilvl w:val="0"/>
          <w:numId w:val="20"/>
        </w:numPr>
      </w:pPr>
      <w:r w:rsidRPr="00BB63EF">
        <w:t>Fundamentos de Derecho</w:t>
      </w:r>
    </w:p>
    <w:p w14:paraId="264AB2B7" w14:textId="77777777" w:rsidR="00BB63EF" w:rsidRPr="00BB63EF" w:rsidRDefault="00BB63EF" w:rsidP="00BB63EF">
      <w:pPr>
        <w:numPr>
          <w:ilvl w:val="0"/>
          <w:numId w:val="20"/>
        </w:numPr>
      </w:pPr>
      <w:r w:rsidRPr="00BB63EF">
        <w:t>Observaciones</w:t>
      </w:r>
    </w:p>
    <w:p w14:paraId="1AB6CCE2" w14:textId="77777777" w:rsidR="00BB63EF" w:rsidRPr="00BB63EF" w:rsidRDefault="00BB63EF" w:rsidP="00BB63EF">
      <w:pPr>
        <w:numPr>
          <w:ilvl w:val="0"/>
          <w:numId w:val="20"/>
        </w:numPr>
      </w:pPr>
      <w:r w:rsidRPr="00BB63EF">
        <w:t>Peticiones</w:t>
      </w:r>
    </w:p>
    <w:p w14:paraId="51CFB01F" w14:textId="77777777" w:rsidR="00621E7C" w:rsidRDefault="00621E7C"/>
    <w:sectPr w:rsidR="0062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0A32"/>
    <w:multiLevelType w:val="multilevel"/>
    <w:tmpl w:val="A89A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7BFA"/>
    <w:multiLevelType w:val="multilevel"/>
    <w:tmpl w:val="EF52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53B9"/>
    <w:multiLevelType w:val="multilevel"/>
    <w:tmpl w:val="2B4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E37C2"/>
    <w:multiLevelType w:val="multilevel"/>
    <w:tmpl w:val="7D4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62262"/>
    <w:multiLevelType w:val="multilevel"/>
    <w:tmpl w:val="A3C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5761C"/>
    <w:multiLevelType w:val="multilevel"/>
    <w:tmpl w:val="CBD6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56CA5"/>
    <w:multiLevelType w:val="multilevel"/>
    <w:tmpl w:val="A96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15768"/>
    <w:multiLevelType w:val="multilevel"/>
    <w:tmpl w:val="1890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84222"/>
    <w:multiLevelType w:val="multilevel"/>
    <w:tmpl w:val="94D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86AD5"/>
    <w:multiLevelType w:val="multilevel"/>
    <w:tmpl w:val="6806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81B73"/>
    <w:multiLevelType w:val="multilevel"/>
    <w:tmpl w:val="67A6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B5C86"/>
    <w:multiLevelType w:val="multilevel"/>
    <w:tmpl w:val="8AA4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F7F95"/>
    <w:multiLevelType w:val="multilevel"/>
    <w:tmpl w:val="9A54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F707B"/>
    <w:multiLevelType w:val="multilevel"/>
    <w:tmpl w:val="E5F2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14379"/>
    <w:multiLevelType w:val="multilevel"/>
    <w:tmpl w:val="826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7392B"/>
    <w:multiLevelType w:val="multilevel"/>
    <w:tmpl w:val="C3A0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13672"/>
    <w:multiLevelType w:val="multilevel"/>
    <w:tmpl w:val="DD6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65324"/>
    <w:multiLevelType w:val="multilevel"/>
    <w:tmpl w:val="83AC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65907"/>
    <w:multiLevelType w:val="multilevel"/>
    <w:tmpl w:val="793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8242D"/>
    <w:multiLevelType w:val="multilevel"/>
    <w:tmpl w:val="3B4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192861">
    <w:abstractNumId w:val="3"/>
  </w:num>
  <w:num w:numId="2" w16cid:durableId="771513984">
    <w:abstractNumId w:val="19"/>
  </w:num>
  <w:num w:numId="3" w16cid:durableId="976496864">
    <w:abstractNumId w:val="5"/>
  </w:num>
  <w:num w:numId="4" w16cid:durableId="1181971323">
    <w:abstractNumId w:val="14"/>
  </w:num>
  <w:num w:numId="5" w16cid:durableId="845481309">
    <w:abstractNumId w:val="18"/>
  </w:num>
  <w:num w:numId="6" w16cid:durableId="321276207">
    <w:abstractNumId w:val="16"/>
  </w:num>
  <w:num w:numId="7" w16cid:durableId="551578419">
    <w:abstractNumId w:val="12"/>
  </w:num>
  <w:num w:numId="8" w16cid:durableId="395127816">
    <w:abstractNumId w:val="10"/>
  </w:num>
  <w:num w:numId="9" w16cid:durableId="673801122">
    <w:abstractNumId w:val="13"/>
  </w:num>
  <w:num w:numId="10" w16cid:durableId="2080130351">
    <w:abstractNumId w:val="4"/>
  </w:num>
  <w:num w:numId="11" w16cid:durableId="1438528180">
    <w:abstractNumId w:val="15"/>
  </w:num>
  <w:num w:numId="12" w16cid:durableId="493648307">
    <w:abstractNumId w:val="17"/>
  </w:num>
  <w:num w:numId="13" w16cid:durableId="622150807">
    <w:abstractNumId w:val="7"/>
  </w:num>
  <w:num w:numId="14" w16cid:durableId="935745228">
    <w:abstractNumId w:val="6"/>
  </w:num>
  <w:num w:numId="15" w16cid:durableId="2132362626">
    <w:abstractNumId w:val="2"/>
  </w:num>
  <w:num w:numId="16" w16cid:durableId="2068381810">
    <w:abstractNumId w:val="8"/>
  </w:num>
  <w:num w:numId="17" w16cid:durableId="2057241646">
    <w:abstractNumId w:val="9"/>
  </w:num>
  <w:num w:numId="18" w16cid:durableId="1889560801">
    <w:abstractNumId w:val="1"/>
  </w:num>
  <w:num w:numId="19" w16cid:durableId="512495069">
    <w:abstractNumId w:val="11"/>
  </w:num>
  <w:num w:numId="20" w16cid:durableId="158075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A0"/>
    <w:rsid w:val="005301B1"/>
    <w:rsid w:val="00621E7C"/>
    <w:rsid w:val="00BB63EF"/>
    <w:rsid w:val="00BC5163"/>
    <w:rsid w:val="00D251A0"/>
    <w:rsid w:val="00DC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321C"/>
  <w15:chartTrackingRefBased/>
  <w15:docId w15:val="{44CB8616-5D44-4D98-BC62-EFD828B5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0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salas</dc:creator>
  <cp:keywords/>
  <dc:description/>
  <cp:lastModifiedBy>abigail salas</cp:lastModifiedBy>
  <cp:revision>2</cp:revision>
  <dcterms:created xsi:type="dcterms:W3CDTF">2025-04-07T23:02:00Z</dcterms:created>
  <dcterms:modified xsi:type="dcterms:W3CDTF">2025-04-07T23:02:00Z</dcterms:modified>
</cp:coreProperties>
</file>