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Jaskulski, Shalva</w:t>
        <w:br/>
        <w:br/>
        <w:t>cc: Kaur, Quanah; Weston, Girisha; Ansaldi, Tamatoa</w:t>
        <w:br/>
        <w:t xml:space="preserve">    </w:t>
      </w:r>
      <w:r>
        <w:rPr>
          <w:color w:val="002060"/>
        </w:rPr>
        <w:br/>
        <w:t>Subject: Servicing &amp; Loyalty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1249"/>
        <w:gridCol w:w="1249"/>
        <w:gridCol w:w="1249"/>
        <w:gridCol w:w="1249"/>
        <w:gridCol w:w="1249"/>
        <w:gridCol w:w="1249"/>
        <w:gridCol w:w="1249"/>
        <w:gridCol w:w="1249"/>
      </w:tblGrid>
      <w:tr>
        <w:trPr>
          <w:trHeight w:val="360"/>
        </w:trPr>
        <w:tc>
          <w:tcPr>
            <w:tcW w:type="dxa" w:w="10584"/>
            <w:gridSpan w:val="8"/>
            <w:shd w:fill="#DEEAF6"/>
          </w:tcPr>
          <w:p>
            <w:r>
              <w:rPr>
                <w:b/>
                <w:color w:val="000000"/>
              </w:rPr>
              <w:t>High-level Status</w:t>
            </w:r>
          </w:p>
        </w:tc>
      </w:tr>
      <w:tr>
        <w:trPr>
          <w:trHeight w:val="432"/>
        </w:trPr>
        <w:tc>
          <w:tcPr>
            <w:tcW w:type="dxa" w:w="1249"/>
            <w:shd w:fill="#D9D9D9"/>
          </w:tcPr>
          <w:p>
            <w:pPr>
              <w:jc w:val="center"/>
            </w:pPr>
            <w:r>
              <w:rPr>
                <w:color w:val="000000"/>
              </w:rPr>
              <w:t>Issue # Ref</w:t>
            </w:r>
          </w:p>
        </w:tc>
        <w:tc>
          <w:tcPr>
            <w:tcW w:type="dxa" w:w="1249"/>
            <w:shd w:fill="#D9D9D9"/>
          </w:tcPr>
          <w:p>
            <w:pPr>
              <w:jc w:val="center"/>
            </w:pPr>
            <w:r>
              <w:rPr>
                <w:color w:val="000000"/>
              </w:rPr>
              <w:t>Target Date</w:t>
            </w:r>
          </w:p>
        </w:tc>
        <w:tc>
          <w:tcPr>
            <w:tcW w:type="dxa" w:w="1249"/>
            <w:shd w:fill="#D9D9D9"/>
          </w:tcPr>
          <w:p>
            <w:pPr>
              <w:jc w:val="center"/>
            </w:pPr>
            <w:r>
              <w:rPr>
                <w:color w:val="000000"/>
              </w:rPr>
              <w:t>1st Revised Target Date</w:t>
            </w:r>
          </w:p>
        </w:tc>
        <w:tc>
          <w:tcPr>
            <w:tcW w:type="dxa" w:w="1249"/>
            <w:shd w:fill="#D9D9D9"/>
          </w:tcPr>
          <w:p>
            <w:pPr>
              <w:jc w:val="center"/>
            </w:pPr>
            <w:r>
              <w:rPr>
                <w:color w:val="000000"/>
              </w:rPr>
              <w:t>2nd Revised Target Date</w:t>
            </w:r>
          </w:p>
        </w:tc>
        <w:tc>
          <w:tcPr>
            <w:tcW w:type="dxa" w:w="1249"/>
            <w:shd w:fill="#D9D9D9"/>
          </w:tcPr>
          <w:p>
            <w:pPr>
              <w:jc w:val="center"/>
            </w:pPr>
            <w:r>
              <w:rPr>
                <w:color w:val="000000"/>
              </w:rPr>
              <w:t>3rd Revised Target Date</w:t>
            </w:r>
          </w:p>
        </w:tc>
        <w:tc>
          <w:tcPr>
            <w:tcW w:type="dxa" w:w="1249"/>
            <w:shd w:fill="#D9D9D9"/>
          </w:tcPr>
          <w:p>
            <w:pPr>
              <w:jc w:val="center"/>
            </w:pPr>
            <w:r>
              <w:rPr>
                <w:color w:val="000000"/>
              </w:rPr>
              <w:t>Revised Target Date</w:t>
            </w:r>
          </w:p>
        </w:tc>
        <w:tc>
          <w:tcPr>
            <w:tcW w:type="dxa" w:w="1249"/>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1249"/>
          </w:tcPr>
          <w:p>
            <w:pPr>
              <w:jc w:val="left"/>
            </w:pPr>
            <w:r>
              <w:rPr>
                <w:color w:val="000000"/>
              </w:rPr>
              <w:t>1.0</w:t>
            </w:r>
          </w:p>
        </w:tc>
        <w:tc>
          <w:tcPr>
            <w:tcW w:type="dxa" w:w="1249"/>
          </w:tcPr>
          <w:p>
            <w:pPr>
              <w:jc w:val="left"/>
            </w:pPr>
            <w:r>
              <w:rPr>
                <w:color w:val="000000"/>
              </w:rPr>
              <w:t>02.28.21</w:t>
            </w:r>
          </w:p>
        </w:tc>
        <w:tc>
          <w:tcPr>
            <w:tcW w:type="dxa" w:w="1249"/>
          </w:tcPr>
          <w:p>
            <w:pPr>
              <w:jc w:val="left"/>
            </w:pPr>
            <w:r>
              <w:rPr>
                <w:color w:val="000000"/>
              </w:rPr>
              <w:t>09.30.21</w:t>
            </w:r>
          </w:p>
        </w:tc>
        <w:tc>
          <w:tcPr>
            <w:tcW w:type="dxa" w:w="1249"/>
          </w:tcPr>
          <w:p>
            <w:pPr>
              <w:jc w:val="left"/>
            </w:pPr>
            <w:r>
              <w:rPr>
                <w:color w:val="000000"/>
              </w:rPr>
              <w:t>03.31.22</w:t>
            </w:r>
          </w:p>
        </w:tc>
        <w:tc>
          <w:tcPr>
            <w:tcW w:type="dxa" w:w="1249"/>
          </w:tcPr>
          <w:p>
            <w:pPr>
              <w:jc w:val="left"/>
            </w:pPr>
            <w:r>
              <w:rPr>
                <w:color w:val="000000"/>
              </w:rPr>
              <w:t>06.30.22</w:t>
            </w:r>
          </w:p>
        </w:tc>
        <w:tc>
          <w:tcPr>
            <w:tcW w:type="dxa" w:w="1249"/>
            <w:shd w:fill="#FFC7CE"/>
          </w:tcPr>
          <w:p>
            <w:pPr>
              <w:jc w:val="left"/>
            </w:pPr>
            <w:r>
              <w:rPr>
                <w:color w:val="000000"/>
              </w:rPr>
              <w:t>12.31.22</w:t>
            </w:r>
          </w:p>
        </w:tc>
        <w:tc>
          <w:tcPr>
            <w:tcW w:type="dxa" w:w="1249"/>
          </w:tcPr>
          <w:p>
            <w:pPr>
              <w:jc w:val="left"/>
            </w:pPr>
            <w:r>
              <w:rPr>
                <w:color w:val="000000"/>
              </w:rPr>
              <w:t>Payment Processing</w:t>
            </w:r>
          </w:p>
        </w:tc>
        <w:tc>
          <w:tcPr>
            <w:tcW w:type="dxa" w:w="10584"/>
          </w:tcPr>
          <w:p>
            <w:pPr>
              <w:jc w:val="left"/>
            </w:pPr>
            <w:r>
              <w:rPr>
                <w:color w:val="000000"/>
              </w:rPr>
              <w:t>Payment Processing 1-85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