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EA0574" w:rsidP="00BD5D1B">
      <w:hyperlink r:id="rId7" w:history="1">
        <w:r w:rsidR="00BD5D1B" w:rsidRPr="00755BA1">
          <w:rPr>
            <w:rStyle w:val="Hyperlink"/>
          </w:rPr>
          <w:t>tedhagos@gmail.com</w:t>
        </w:r>
      </w:hyperlink>
    </w:p>
    <w:p w14:paraId="6C12B256" w14:textId="5E824204" w:rsidR="00BD5D1B" w:rsidRDefault="00EA0574">
      <w:pPr>
        <w:rPr>
          <w:rStyle w:val="Hyperlink"/>
        </w:rPr>
      </w:pPr>
      <w:hyperlink r:id="rId8" w:history="1">
        <w:r w:rsidR="00BD5D1B" w:rsidRPr="006C4A53">
          <w:rPr>
            <w:rStyle w:val="Hyperlink"/>
          </w:rPr>
          <w:t>@lovescaffeine</w:t>
        </w:r>
      </w:hyperlink>
    </w:p>
    <w:p w14:paraId="462B7E3A" w14:textId="0B861FCE" w:rsidR="00D53F4A" w:rsidRDefault="00EA0574">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EA0574"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554D67BA" w:rsidR="0062779A" w:rsidRDefault="0062779A" w:rsidP="00582FD6"/>
    <w:p w14:paraId="15912DDA" w14:textId="1F8D52A6" w:rsidR="004A1AD1" w:rsidRDefault="004A1AD1"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72D9ABCC" w:rsidR="009B371E" w:rsidRDefault="009B371E" w:rsidP="006B442A">
      <w:r>
        <w:t>Route parameters</w:t>
      </w:r>
    </w:p>
    <w:p w14:paraId="23A09AE9" w14:textId="0E4325F4" w:rsidR="00211A4B" w:rsidRDefault="006D79DD" w:rsidP="006B442A">
      <w:r>
        <w:t xml:space="preserve">Filter </w:t>
      </w:r>
    </w:p>
    <w:p w14:paraId="005A2762" w14:textId="77777777" w:rsidR="00211A4B" w:rsidRDefault="00211A4B" w:rsidP="006B442A"/>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5821A2AE" w14:textId="7D92CD8E" w:rsidR="0091455E" w:rsidRDefault="0010160A" w:rsidP="00754492">
      <w:pPr>
        <w:pStyle w:val="ListParagraph"/>
        <w:numPr>
          <w:ilvl w:val="0"/>
          <w:numId w:val="8"/>
        </w:numPr>
      </w:pPr>
      <w:r>
        <w:t>Filter example</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6513175D" w14:textId="3CB1AD1C" w:rsidR="00EA0574" w:rsidRDefault="00EA0574" w:rsidP="00EA0574"/>
    <w:p w14:paraId="074ACCAA" w14:textId="5B9A3FCB" w:rsidR="00EA0574" w:rsidRDefault="00EA0574" w:rsidP="00EA0574"/>
    <w:p w14:paraId="614BF4BC" w14:textId="77777777" w:rsidR="00426EDC" w:rsidRDefault="00426EDC">
      <w:pPr>
        <w:rPr>
          <w:rFonts w:eastAsiaTheme="majorEastAsia" w:cstheme="majorBidi"/>
          <w:color w:val="0D0D0D" w:themeColor="text1" w:themeTint="F2"/>
          <w:sz w:val="44"/>
          <w:szCs w:val="32"/>
          <w:lang w:val="en-US"/>
        </w:rPr>
      </w:pPr>
      <w:r>
        <w:br w:type="page"/>
      </w:r>
    </w:p>
    <w:p w14:paraId="364C1039" w14:textId="39F4040B" w:rsidR="00EA0574" w:rsidRDefault="00EA0574" w:rsidP="00426EDC">
      <w:pPr>
        <w:pStyle w:val="Heading1"/>
      </w:pPr>
      <w:bookmarkStart w:id="0" w:name="_GoBack"/>
      <w:bookmarkEnd w:id="0"/>
      <w:r>
        <w:lastRenderedPageBreak/>
        <w:t>Big Project/machine problem</w:t>
      </w:r>
    </w:p>
    <w:p w14:paraId="3C079161" w14:textId="09611CE5" w:rsidR="00EA0574" w:rsidRDefault="00EA0574" w:rsidP="00EA0574"/>
    <w:p w14:paraId="6D9E2AD2" w14:textId="161D0F8D" w:rsidR="00EA0574" w:rsidRDefault="00EA0574" w:rsidP="00EA0574"/>
    <w:p w14:paraId="73EA3F87" w14:textId="0BAE298F" w:rsidR="00EA0574" w:rsidRDefault="00EA0574" w:rsidP="00EA0574">
      <w:pPr>
        <w:pStyle w:val="ListParagraph"/>
        <w:numPr>
          <w:ilvl w:val="0"/>
          <w:numId w:val="26"/>
        </w:numPr>
      </w:pPr>
      <w:r>
        <w:t>Implement a book catalog</w:t>
      </w:r>
      <w:r w:rsidR="00BB0CC9">
        <w:t xml:space="preserve"> via routing.  The book list (name and id) should be links (routerLink) --- which should go to a book detail page. </w:t>
      </w:r>
    </w:p>
    <w:p w14:paraId="337D0BD2" w14:textId="71C461B2" w:rsidR="00BB0CC9" w:rsidRDefault="00BB0CC9" w:rsidP="00EA0574">
      <w:pPr>
        <w:pStyle w:val="ListParagraph"/>
        <w:numPr>
          <w:ilvl w:val="0"/>
          <w:numId w:val="26"/>
        </w:numPr>
      </w:pPr>
      <w:r>
        <w:t>The book detail page should display the following;</w:t>
      </w:r>
    </w:p>
    <w:p w14:paraId="15E4E06E" w14:textId="69B7EE5E" w:rsidR="00BB0CC9" w:rsidRDefault="00BB0CC9" w:rsidP="00BB0CC9">
      <w:pPr>
        <w:pStyle w:val="ListParagraph"/>
        <w:numPr>
          <w:ilvl w:val="1"/>
          <w:numId w:val="26"/>
        </w:numPr>
      </w:pPr>
      <w:r>
        <w:t>price</w:t>
      </w:r>
    </w:p>
    <w:p w14:paraId="50408276" w14:textId="3D764D04" w:rsidR="00BB0CC9" w:rsidRDefault="00BB0CC9" w:rsidP="00BB0CC9">
      <w:pPr>
        <w:pStyle w:val="ListParagraph"/>
        <w:numPr>
          <w:ilvl w:val="1"/>
          <w:numId w:val="26"/>
        </w:numPr>
      </w:pPr>
      <w:r>
        <w:t>author</w:t>
      </w:r>
    </w:p>
    <w:p w14:paraId="7E755B94" w14:textId="547CD46F" w:rsidR="00BB0CC9" w:rsidRDefault="00BB0CC9" w:rsidP="00BB0CC9">
      <w:pPr>
        <w:pStyle w:val="ListParagraph"/>
        <w:numPr>
          <w:ilvl w:val="1"/>
          <w:numId w:val="26"/>
        </w:numPr>
      </w:pPr>
      <w:r>
        <w:t>rating (in stars, implement this using pipes)</w:t>
      </w:r>
    </w:p>
    <w:p w14:paraId="53EE8063" w14:textId="02A37776" w:rsidR="00BB0CC9" w:rsidRDefault="00BB0CC9" w:rsidP="00BB0CC9">
      <w:pPr>
        <w:pStyle w:val="ListParagraph"/>
        <w:numPr>
          <w:ilvl w:val="0"/>
          <w:numId w:val="26"/>
        </w:numPr>
      </w:pPr>
      <w:r>
        <w:t xml:space="preserve">Implement a service, where you </w:t>
      </w:r>
      <w:r w:rsidR="006D7372">
        <w:t xml:space="preserve">can get a) the complete list of books and b) the detail for one book. This service will </w:t>
      </w:r>
      <w:r>
        <w:t>have the following methods</w:t>
      </w:r>
    </w:p>
    <w:p w14:paraId="71FD67BA" w14:textId="515161CF" w:rsidR="00BB0CC9" w:rsidRDefault="00BB0CC9" w:rsidP="00BB0CC9">
      <w:pPr>
        <w:pStyle w:val="ListParagraph"/>
        <w:numPr>
          <w:ilvl w:val="1"/>
          <w:numId w:val="26"/>
        </w:numPr>
      </w:pPr>
      <w:r>
        <w:t xml:space="preserve">getBooks() – this will fetch a list of books </w:t>
      </w:r>
    </w:p>
    <w:p w14:paraId="3A221EE3" w14:textId="0D616632" w:rsidR="00BB0CC9" w:rsidRDefault="00BB0CC9" w:rsidP="00BB0CC9">
      <w:pPr>
        <w:pStyle w:val="ListParagraph"/>
        <w:numPr>
          <w:ilvl w:val="1"/>
          <w:numId w:val="26"/>
        </w:numPr>
      </w:pPr>
      <w:r>
        <w:t>getBook(id) – this will fetch the detail of one book</w:t>
      </w:r>
    </w:p>
    <w:p w14:paraId="6C9A5524" w14:textId="5FFB5604" w:rsidR="00BB0CC9" w:rsidRDefault="006D7372" w:rsidP="00BB0CC9">
      <w:pPr>
        <w:pStyle w:val="ListParagraph"/>
        <w:numPr>
          <w:ilvl w:val="0"/>
          <w:numId w:val="26"/>
        </w:numPr>
      </w:pPr>
      <w:r>
        <w:t>Get the list of books from an HTTP service (just like in the exercises</w:t>
      </w:r>
    </w:p>
    <w:p w14:paraId="481FBAF5" w14:textId="2145E7FB" w:rsidR="006D7372" w:rsidRDefault="006D7372" w:rsidP="00BB0CC9">
      <w:pPr>
        <w:pStyle w:val="ListParagraph"/>
        <w:numPr>
          <w:ilvl w:val="0"/>
          <w:numId w:val="26"/>
        </w:numPr>
      </w:pPr>
      <w:r>
        <w:t>Implement a search filter for the list of books</w:t>
      </w:r>
    </w:p>
    <w:p w14:paraId="1EBCC109" w14:textId="4A463D00" w:rsidR="00EA0574" w:rsidRDefault="00EA0574" w:rsidP="00EA0574"/>
    <w:p w14:paraId="039F14D3" w14:textId="77777777" w:rsidR="00EA0574" w:rsidRDefault="00EA0574" w:rsidP="00EA0574"/>
    <w:sectPr w:rsidR="00EA0574"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5CD22" w14:textId="77777777" w:rsidR="00FC5D81" w:rsidRDefault="00FC5D81" w:rsidP="00CB3281">
      <w:r>
        <w:separator/>
      </w:r>
    </w:p>
  </w:endnote>
  <w:endnote w:type="continuationSeparator" w:id="0">
    <w:p w14:paraId="04415824" w14:textId="77777777" w:rsidR="00FC5D81" w:rsidRDefault="00FC5D81"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EA0574" w:rsidRDefault="00EA0574">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65309" w14:textId="77777777" w:rsidR="00FC5D81" w:rsidRDefault="00FC5D81" w:rsidP="00CB3281">
      <w:r>
        <w:separator/>
      </w:r>
    </w:p>
  </w:footnote>
  <w:footnote w:type="continuationSeparator" w:id="0">
    <w:p w14:paraId="77FB09F2" w14:textId="77777777" w:rsidR="00FC5D81" w:rsidRDefault="00FC5D81" w:rsidP="00CB3281">
      <w:r>
        <w:continuationSeparator/>
      </w:r>
    </w:p>
  </w:footnote>
  <w:footnote w:id="1">
    <w:p w14:paraId="67C676B9" w14:textId="4053BFE2" w:rsidR="00EA0574" w:rsidRDefault="00EA0574">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EA0574" w:rsidRDefault="00EA0574">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E0B"/>
    <w:multiLevelType w:val="hybridMultilevel"/>
    <w:tmpl w:val="33280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D7454"/>
    <w:multiLevelType w:val="hybridMultilevel"/>
    <w:tmpl w:val="9A56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8"/>
  </w:num>
  <w:num w:numId="4">
    <w:abstractNumId w:val="15"/>
  </w:num>
  <w:num w:numId="5">
    <w:abstractNumId w:val="6"/>
  </w:num>
  <w:num w:numId="6">
    <w:abstractNumId w:val="22"/>
  </w:num>
  <w:num w:numId="7">
    <w:abstractNumId w:val="2"/>
  </w:num>
  <w:num w:numId="8">
    <w:abstractNumId w:val="20"/>
  </w:num>
  <w:num w:numId="9">
    <w:abstractNumId w:val="21"/>
  </w:num>
  <w:num w:numId="10">
    <w:abstractNumId w:val="7"/>
  </w:num>
  <w:num w:numId="11">
    <w:abstractNumId w:val="8"/>
  </w:num>
  <w:num w:numId="12">
    <w:abstractNumId w:val="4"/>
  </w:num>
  <w:num w:numId="13">
    <w:abstractNumId w:val="3"/>
  </w:num>
  <w:num w:numId="14">
    <w:abstractNumId w:val="11"/>
  </w:num>
  <w:num w:numId="15">
    <w:abstractNumId w:val="19"/>
  </w:num>
  <w:num w:numId="16">
    <w:abstractNumId w:val="12"/>
  </w:num>
  <w:num w:numId="17">
    <w:abstractNumId w:val="10"/>
  </w:num>
  <w:num w:numId="18">
    <w:abstractNumId w:val="13"/>
  </w:num>
  <w:num w:numId="19">
    <w:abstractNumId w:val="17"/>
  </w:num>
  <w:num w:numId="20">
    <w:abstractNumId w:val="9"/>
  </w:num>
  <w:num w:numId="21">
    <w:abstractNumId w:val="14"/>
  </w:num>
  <w:num w:numId="22">
    <w:abstractNumId w:val="24"/>
  </w:num>
  <w:num w:numId="23">
    <w:abstractNumId w:val="16"/>
  </w:num>
  <w:num w:numId="24">
    <w:abstractNumId w:val="25"/>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0B6C"/>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95CB8"/>
    <w:rsid w:val="001A418B"/>
    <w:rsid w:val="001A6D35"/>
    <w:rsid w:val="001A7821"/>
    <w:rsid w:val="001B5EFB"/>
    <w:rsid w:val="001B6251"/>
    <w:rsid w:val="001C5E7D"/>
    <w:rsid w:val="001D3DF2"/>
    <w:rsid w:val="002000B7"/>
    <w:rsid w:val="00203DB5"/>
    <w:rsid w:val="0020566E"/>
    <w:rsid w:val="00206C2B"/>
    <w:rsid w:val="00211A4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26EDC"/>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1AD1"/>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4F23"/>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0B8"/>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D7372"/>
    <w:rsid w:val="006D79DD"/>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6E30"/>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0CC9"/>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A0574"/>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C5D81"/>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869</TotalTime>
  <Pages>67</Pages>
  <Words>10409</Words>
  <Characters>59334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573</cp:revision>
  <cp:lastPrinted>2019-01-09T14:13:00Z</cp:lastPrinted>
  <dcterms:created xsi:type="dcterms:W3CDTF">2018-11-09T08:23:00Z</dcterms:created>
  <dcterms:modified xsi:type="dcterms:W3CDTF">2019-10-25T02:22:00Z</dcterms:modified>
</cp:coreProperties>
</file>