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1c028cfabb76556499596bec1f46a00c97f3df"/>
    <w:p>
      <w:pPr>
        <w:pStyle w:val="Heading1"/>
      </w:pPr>
      <w:r>
        <w:t xml:space="preserve">Number Sense in Vision-Language Models: Subitizing, Weberian Estimation, and Round-Number Anchoring</w:t>
      </w:r>
    </w:p>
    <w:p>
      <w:pPr>
        <w:pStyle w:val="FirstParagraph"/>
      </w:pPr>
      <w:r>
        <w:rPr>
          <w:i/>
          <w:iCs/>
        </w:rPr>
        <w:t xml:space="preserve">Ted Inoué, with the Solebury Mountain Research Collective</w:t>
      </w:r>
      <w:r>
        <w:t xml:space="preserve"> </w:t>
      </w:r>
      <w:r>
        <w:rPr>
          <w:i/>
          <w:iCs/>
        </w:rPr>
        <w:t xml:space="preserve">Working paper — data and code: github.com/tedinoue/cogpsych-llm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ran a classic human numerosity-estimation paradigm on vision-language models, asking not</w:t>
      </w:r>
      <w:r>
        <w:t xml:space="preserve"> </w:t>
      </w:r>
      <w:r>
        <w:t xml:space="preserve">whether they can count but what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their number cognition is, and whether it matches</w:t>
      </w:r>
      <w:r>
        <w:t xml:space="preserve"> </w:t>
      </w:r>
      <w:r>
        <w:t xml:space="preserve">the human profile. Across three models from three independent labs (xAI’s Grok, Meta’s Llama,</w:t>
      </w:r>
      <w:r>
        <w:t xml:space="preserve"> </w:t>
      </w:r>
      <w:r>
        <w:t xml:space="preserve">Google’s Gemini), a coarse human signature replicates: near-exact performance on small sets</w:t>
      </w:r>
      <w:r>
        <w:t xml:space="preserve"> </w:t>
      </w:r>
      <w:r>
        <w:t xml:space="preserve">(subitizing) gives way, above ~4 items, to estimation whose error grows with the number being</w:t>
      </w:r>
      <w:r>
        <w:t xml:space="preserve"> </w:t>
      </w:r>
      <w:r>
        <w:t xml:space="preserve">judged (Weber’s law). The fine structure varies by model. Only one model (Grok) subitizes</w:t>
      </w:r>
      <w:r>
        <w:t xml:space="preserve"> </w:t>
      </w:r>
      <w:r>
        <w:t xml:space="preserve">perfectly; estimation precision tracks model capability; and</w:t>
      </w:r>
      <w:r>
        <w:t xml:space="preserve"> </w:t>
      </w:r>
      <w:r>
        <w:rPr>
          <w:b/>
          <w:bCs/>
        </w:rPr>
        <w:t xml:space="preserve">round-number anchoring</w:t>
      </w:r>
      <w:r>
        <w:t xml:space="preserve"> </w:t>
      </w:r>
      <w:r>
        <w:t xml:space="preserve">— a</w:t>
      </w:r>
      <w:r>
        <w:t xml:space="preserve"> </w:t>
      </w:r>
      <w:r>
        <w:t xml:space="preserve">documented human estimation strategy in which responses cluster on multiples of five — appears in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models, varying markedly in strength. We demonstrate this with a dedicated test</w:t>
      </w:r>
      <w:r>
        <w:t xml:space="preserve"> </w:t>
      </w:r>
      <w:r>
        <w:t xml:space="preserve">covering every integer from 25 to 40: each model’s most-common answer locks onto preferred values</w:t>
      </w:r>
      <w:r>
        <w:t xml:space="preserve"> </w:t>
      </w:r>
      <w:r>
        <w:t xml:space="preserve">and holds them across runs of consecutive true counts (a staircase), Grok most extremely (its mode</w:t>
      </w:r>
      <w:r>
        <w:t xml:space="preserve"> </w:t>
      </w:r>
      <w:r>
        <w:t xml:space="preserve">remains</w:t>
      </w:r>
      <w:r>
        <w:t xml:space="preserve"> </w:t>
      </w:r>
      <w:r>
        <w:t xml:space="preserve">“25”</w:t>
      </w:r>
      <w:r>
        <w:t xml:space="preserve"> </w:t>
      </w:r>
      <w:r>
        <w:t xml:space="preserve">across true counts 25 through 35), Gemini and Llama more mildly (modal plateaus of</w:t>
      </w:r>
      <w:r>
        <w:t xml:space="preserve"> </w:t>
      </w:r>
      <w:r>
        <w:t xml:space="preserve">about four counts on values such as 26, 30, and 40). We conclude that the analog magnitude system</w:t>
      </w:r>
      <w:r>
        <w:t xml:space="preserve"> </w:t>
      </w:r>
      <w:r>
        <w:t xml:space="preserve">(subitizing plus magnitude-scaled error) is architecture-general, and that the human-like</w:t>
      </w:r>
      <w:r>
        <w:t xml:space="preserve"> </w:t>
      </w:r>
      <w:r>
        <w:t xml:space="preserve">round-number-anchoring strategy is architecture-general in kind while differing in degree across</w:t>
      </w:r>
      <w:r>
        <w:t xml:space="preserve"> </w:t>
      </w:r>
      <w:r>
        <w:t xml:space="preserve">models; estimation precision, in turn, tracks model capability. All raw model responses are</w:t>
      </w:r>
      <w:r>
        <w:t xml:space="preserve"> </w:t>
      </w:r>
      <w:r>
        <w:t xml:space="preserve">published; every reported value was scored by reading the responses, not by automated parsing.</w:t>
      </w:r>
    </w:p>
    <w:p>
      <w:r>
        <w:pict>
          <v:rect style="width:0;height:1.5pt" o:hralign="center" o:hrstd="t" o:hr="t"/>
        </w:pict>
      </w:r>
    </w:p>
    <w:bookmarkEnd w:id="9"/>
    <w:bookmarkStart w:id="10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Humans show a remarkably consistent profile when asked</w:t>
      </w:r>
      <w:r>
        <w:t xml:space="preserve"> </w:t>
      </w:r>
      <w:r>
        <w:t xml:space="preserve">“how many?”</w:t>
      </w:r>
      <w:r>
        <w:t xml:space="preserve"> </w:t>
      </w:r>
      <w:r>
        <w:t xml:space="preserve">for a set of objects: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Subitizing.</w:t>
      </w:r>
      <w:r>
        <w:t xml:space="preserve"> </w:t>
      </w:r>
      <w:r>
        <w:t xml:space="preserve">Sets of roughly one to four are apprehended instantly and reported exactly,</w:t>
      </w:r>
      <w:r>
        <w:t xml:space="preserve"> </w:t>
      </w:r>
      <w:r>
        <w:t xml:space="preserve">with no error and effectively no response-time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 estimation (Weber’s law).</w:t>
      </w:r>
      <w:r>
        <w:t xml:space="preserve"> </w:t>
      </w:r>
      <w:r>
        <w:t xml:space="preserve">Above the subitizing range, people</w:t>
      </w:r>
      <w:r>
        <w:t xml:space="preserve"> </w:t>
      </w:r>
      <w:r>
        <w:rPr>
          <w:i/>
          <w:iCs/>
        </w:rPr>
        <w:t xml:space="preserve">estimate</w:t>
      </w:r>
      <w:r>
        <w:t xml:space="preserve">, and the</w:t>
      </w:r>
      <w:r>
        <w:t xml:space="preserve"> </w:t>
      </w:r>
      <w:r>
        <w:t xml:space="preserve">variability of their estimates grows in proportion to the quantity — a roughly constant</w:t>
      </w:r>
      <w:r>
        <w:t xml:space="preserve"> </w:t>
      </w:r>
      <w:r>
        <w:t xml:space="preserve">coefficient of variation, the signature of an analog magnitude system. This system is shared</w:t>
      </w:r>
      <w:r>
        <w:t xml:space="preserve"> </w:t>
      </w:r>
      <w:r>
        <w:t xml:space="preserve">across cultures, including peoples whose languages lack exact count words above two, who</w:t>
      </w:r>
      <w:r>
        <w:t xml:space="preserve"> </w:t>
      </w:r>
      <w:r>
        <w:t xml:space="preserve">nonetheless show the same estimation signature as numerate adults (Gordon, 2004).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strategies on top.</w:t>
      </w:r>
      <w:r>
        <w:t xml:space="preserve"> </w:t>
      </w:r>
      <w:r>
        <w:t xml:space="preserve">For larger sets, people do not simply read off a magnitude;</w:t>
      </w:r>
      <w:r>
        <w:t xml:space="preserve"> </w:t>
      </w:r>
      <w:r>
        <w:t xml:space="preserve">they compare the display to a remembered reference, partition it into parts and recombine, and</w:t>
      </w:r>
      <w:r>
        <w:t xml:space="preserve"> </w:t>
      </w:r>
      <w:r>
        <w:rPr>
          <w:b/>
          <w:bCs/>
        </w:rPr>
        <w:t xml:space="preserve">anchor their answers on round numbers</w:t>
      </w:r>
      <w:r>
        <w:t xml:space="preserve">, adjusting away from a salient starting value</w:t>
      </w:r>
      <w:r>
        <w:t xml:space="preserve"> </w:t>
      </w:r>
      <w:r>
        <w:t xml:space="preserve">(anchoring-and-adjustment; Tversky &amp; Kahneman, 1974). A recent study using a near-identical</w:t>
      </w:r>
      <w:r>
        <w:t xml:space="preserve"> </w:t>
      </w:r>
      <w:r>
        <w:t xml:space="preserve">1–50 dot paradigm documents these decision-level processes directly, with participants saying</w:t>
      </w:r>
      <w:r>
        <w:t xml:space="preserve"> </w:t>
      </w:r>
      <w:r>
        <w:t xml:space="preserve">things like</w:t>
      </w:r>
      <w:r>
        <w:t xml:space="preserve"> </w:t>
      </w:r>
      <w:r>
        <w:t xml:space="preserve">“I’m gonna say 20”</w:t>
      </w:r>
      <w:r>
        <w:t xml:space="preserve"> </w:t>
      </w:r>
      <w:r>
        <w:t xml:space="preserve">and</w:t>
      </w:r>
      <w:r>
        <w:t xml:space="preserve"> </w:t>
      </w:r>
      <w:r>
        <w:t xml:space="preserve">“I can’t get away from my start-guess at 34”</w:t>
      </w:r>
      <w:r>
        <w:t xml:space="preserve"> </w:t>
      </w:r>
      <w:r>
        <w:t xml:space="preserve">(Solstad,</w:t>
      </w:r>
      <w:r>
        <w:t xml:space="preserve"> </w:t>
      </w:r>
      <w:r>
        <w:t xml:space="preserve">Kaspersen, Romijn &amp; Hodgen, 2026).</w:t>
      </w:r>
    </w:p>
    <w:p>
      <w:pPr>
        <w:pStyle w:val="FirstParagraph"/>
      </w:pPr>
      <w:r>
        <w:t xml:space="preserve">Vision-language models now perform</w:t>
      </w:r>
      <w:r>
        <w:t xml:space="preserve"> </w:t>
      </w:r>
      <w:r>
        <w:t xml:space="preserve">“how many?”</w:t>
      </w:r>
      <w:r>
        <w:t xml:space="preserve"> </w:t>
      </w:r>
      <w:r>
        <w:t xml:space="preserve">tasks routinely. We treat that ability not as a</w:t>
      </w:r>
      <w:r>
        <w:t xml:space="preserve"> </w:t>
      </w:r>
      <w:r>
        <w:t xml:space="preserve">benchmark to be scored but as a behavior to be</w:t>
      </w:r>
      <w:r>
        <w:t xml:space="preserve"> </w:t>
      </w:r>
      <w:r>
        <w:rPr>
          <w:i/>
          <w:iCs/>
        </w:rPr>
        <w:t xml:space="preserve">characterized</w:t>
      </w:r>
      <w:r>
        <w:t xml:space="preserve">: does a model’s number cognition</w:t>
      </w:r>
      <w:r>
        <w:t xml:space="preserve"> </w:t>
      </w:r>
      <w:r>
        <w:t xml:space="preserve">have the human shape — subitizing, Weberian error growth, round-number anchoring — and where does</w:t>
      </w:r>
      <w:r>
        <w:t xml:space="preserve"> </w:t>
      </w:r>
      <w:r>
        <w:t xml:space="preserve">it diverge?</w:t>
      </w:r>
    </w:p>
    <w:bookmarkEnd w:id="10"/>
    <w:bookmarkStart w:id="11" w:name="method"/>
    <w:p>
      <w:pPr>
        <w:pStyle w:val="Heading2"/>
      </w:pPr>
      <w:r>
        <w:t xml:space="preserve">2. Method</w:t>
      </w:r>
    </w:p>
    <w:p>
      <w:pPr>
        <w:pStyle w:val="FirstParagraph"/>
      </w:pPr>
      <w:r>
        <w:rPr>
          <w:b/>
          <w:bCs/>
        </w:rPr>
        <w:t xml:space="preserve">Stimuli.</w:t>
      </w:r>
      <w:r>
        <w:t xml:space="preserve"> </w:t>
      </w:r>
      <w:r>
        <w:t xml:space="preserve">Black filled circles on a white background, at exact known counts, scattered at</w:t>
      </w:r>
      <w:r>
        <w:t xml:space="preserve"> </w:t>
      </w:r>
      <w:r>
        <w:t xml:space="preserve">random non-overlapping positions. Individual dot sizes are jittered so that the total dark area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track the count (across the high-N range the total area plateaus and even declines),</w:t>
      </w:r>
      <w:r>
        <w:t xml:space="preserve"> </w:t>
      </w:r>
      <w:r>
        <w:t xml:space="preserve">preventing a model from substituting</w:t>
      </w:r>
      <w:r>
        <w:t xml:space="preserve"> </w:t>
      </w:r>
      <w:r>
        <w:t xml:space="preserve">“more ink”</w:t>
      </w:r>
      <w:r>
        <w:t xml:space="preserve"> </w:t>
      </w:r>
      <w:r>
        <w:t xml:space="preserve">for</w:t>
      </w:r>
      <w:r>
        <w:t xml:space="preserve"> </w:t>
      </w:r>
      <w:r>
        <w:t xml:space="preserve">“more dots.”</w:t>
      </w:r>
      <w:r>
        <w:t xml:space="preserve"> </w:t>
      </w:r>
      <w:r>
        <w:t xml:space="preserve">Stimuli are generated</w:t>
      </w:r>
      <w:r>
        <w:t xml:space="preserve"> </w:t>
      </w:r>
      <w:r>
        <w:t xml:space="preserve">deterministically from a seed and are fully reproducible; the generator and a manifest of</w:t>
      </w:r>
      <w:r>
        <w:t xml:space="preserve"> </w:t>
      </w:r>
      <w:r>
        <w:t xml:space="preserve">ground-truth counts are included in the repository.</w:t>
      </w:r>
    </w:p>
    <w:p>
      <w:pPr>
        <w:pStyle w:val="BodyText"/>
      </w:pPr>
      <w:r>
        <w:rPr>
          <w:b/>
          <w:bCs/>
        </w:rPr>
        <w:t xml:space="preserve">Task.</w:t>
      </w:r>
      <w:r>
        <w:t xml:space="preserve"> </w:t>
      </w:r>
      <w:r>
        <w:t xml:space="preserve">A single neutral prompt —</w:t>
      </w:r>
      <w:r>
        <w:t xml:space="preserve"> </w:t>
      </w:r>
      <w:r>
        <w:rPr>
          <w:i/>
          <w:iCs/>
        </w:rPr>
        <w:t xml:space="preserve">“How many objects are in this image?”</w:t>
      </w:r>
      <w:r>
        <w:t xml:space="preserve"> </w:t>
      </w:r>
      <w:r>
        <w:t xml:space="preserve">— issued as fresh,</w:t>
      </w:r>
      <w:r>
        <w:t xml:space="preserve"> </w:t>
      </w:r>
      <w:r>
        <w:t xml:space="preserve">independent API calls with no shared conversation history, so that variation across repetitions</w:t>
      </w:r>
      <w:r>
        <w:t xml:space="preserve"> </w:t>
      </w:r>
      <w:r>
        <w:t xml:space="preserve">reflects the model rather than context carryover. (We deliberately avoid the word</w:t>
      </w:r>
      <w:r>
        <w:t xml:space="preserve"> </w:t>
      </w:r>
      <w:r>
        <w:t xml:space="preserve">“dots.”</w:t>
      </w:r>
      <w:r>
        <w:t xml:space="preserve"> </w:t>
      </w:r>
      <w:r>
        <w:t xml:space="preserve">In a</w:t>
      </w:r>
      <w:r>
        <w:t xml:space="preserve"> </w:t>
      </w:r>
      <w:r>
        <w:t xml:space="preserve">companion observation, asking</w:t>
      </w:r>
      <w:r>
        <w:t xml:space="preserve"> </w:t>
      </w:r>
      <w:r>
        <w:t xml:space="preserve">“how many</w:t>
      </w:r>
      <w:r>
        <w:t xml:space="preserve"> </w:t>
      </w:r>
      <w:r>
        <w:rPr>
          <w:i/>
          <w:iCs/>
        </w:rPr>
        <w:t xml:space="preserve">dots</w:t>
      </w:r>
      <w:r>
        <w:t xml:space="preserve">”</w:t>
      </w:r>
      <w:r>
        <w:t xml:space="preserve"> </w:t>
      </w:r>
      <w:r>
        <w:t xml:space="preserve">over mixed-shape displays causes models to exclude</w:t>
      </w:r>
      <w:r>
        <w:t xml:space="preserve"> </w:t>
      </w:r>
      <w:r>
        <w:t xml:space="preserve">non-circular shapes from the count — a lexical-category effect on number reporting — which is why</w:t>
      </w:r>
      <w:r>
        <w:t xml:space="preserve"> </w:t>
      </w:r>
      <w:r>
        <w:t xml:space="preserve">the estimation task uses</w:t>
      </w:r>
      <w:r>
        <w:t xml:space="preserve"> </w:t>
      </w:r>
      <w:r>
        <w:t xml:space="preserve">“objects.”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Models.</w:t>
      </w:r>
      <w:r>
        <w:t xml:space="preserve"> </w:t>
      </w:r>
      <w:r>
        <w:t xml:space="preserve">Three</w:t>
      </w:r>
      <w:r>
        <w:t xml:space="preserve"> </w:t>
      </w:r>
      <w:r>
        <w:rPr>
          <w:i/>
          <w:iCs/>
        </w:rPr>
        <w:t xml:space="preserve">non-reasoning</w:t>
      </w:r>
      <w:r>
        <w:t xml:space="preserve"> </w:t>
      </w:r>
      <w:r>
        <w:t xml:space="preserve">models, each confirmed in pre-flight to estimate at a glance</w:t>
      </w:r>
      <w:r>
        <w:t xml:space="preserve"> </w:t>
      </w:r>
      <w:r>
        <w:t xml:space="preserve">rather than serially enumerate (models that compulsively enumerate cannot produce the analog</w:t>
      </w:r>
      <w:r>
        <w:t xml:space="preserve"> </w:t>
      </w:r>
      <w:r>
        <w:t xml:space="preserve">“glance”</w:t>
      </w:r>
      <w:r>
        <w:t xml:space="preserve"> </w:t>
      </w:r>
      <w:r>
        <w:t xml:space="preserve">regime this paradigm measures and were excluded):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grok-4.20-non-reasoning</w:t>
      </w:r>
      <w:r>
        <w:t xml:space="preserve"> </w:t>
      </w:r>
      <w:r>
        <w:t xml:space="preserve">(xAI)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llama-3.2-11b-vision-instruct</w:t>
      </w:r>
      <w:r>
        <w:t xml:space="preserve"> </w:t>
      </w:r>
      <w:r>
        <w:t xml:space="preserve">(Meta)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gemini-2.5-flash-lite</w:t>
      </w:r>
      <w:r>
        <w:t xml:space="preserve"> </w:t>
      </w:r>
      <w:r>
        <w:t xml:space="preserve">(Google)</w:t>
      </w:r>
    </w:p>
    <w:p>
      <w:pPr>
        <w:pStyle w:val="FirstParagraph"/>
      </w:pPr>
      <w:r>
        <w:rPr>
          <w:b/>
          <w:bCs/>
        </w:rPr>
        <w:t xml:space="preserve">Scoring.</w:t>
      </w:r>
      <w:r>
        <w:t xml:space="preserve"> </w:t>
      </w:r>
      <w:r>
        <w:t xml:space="preserve">Every model response was logged verbatim, and the final committed answer was extracted</w:t>
      </w:r>
      <w:r>
        <w:t xml:space="preserve"> </w:t>
      </w:r>
      <w:r>
        <w:rPr>
          <w:b/>
          <w:bCs/>
        </w:rPr>
        <w:t xml:space="preserve">by reading</w:t>
      </w:r>
      <w:r>
        <w:t xml:space="preserve"> </w:t>
      </w:r>
      <w:r>
        <w:t xml:space="preserve">each response, not by automated parsing. This is a deliberate methodological</w:t>
      </w:r>
      <w:r>
        <w:t xml:space="preserve"> </w:t>
      </w:r>
      <w:r>
        <w:t xml:space="preserve">commitment (see §6). Refusals and garbled outputs were recorded and excluded from the numeric</w:t>
      </w:r>
      <w:r>
        <w:t xml:space="preserve"> </w:t>
      </w:r>
      <w:r>
        <w:t xml:space="preserve">summaries with their counts noted.</w:t>
      </w:r>
    </w:p>
    <w:p>
      <w:pPr>
        <w:pStyle w:val="BodyText"/>
      </w:pPr>
      <w:r>
        <w:rPr>
          <w:b/>
          <w:bCs/>
        </w:rPr>
        <w:t xml:space="preserve">Two experiments.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Weber curve</w:t>
      </w:r>
      <w:r>
        <w:t xml:space="preserve"> </w:t>
      </w:r>
      <w:r>
        <w:t xml:space="preserve">(§3): 16 set sizes (1–10, 12, 15, 20, 25, 30, 40), 10 layouts × 5 repetitions =</w:t>
      </w:r>
      <w:r>
        <w:t xml:space="preserve"> </w:t>
      </w:r>
      <w:r>
        <w:t xml:space="preserve">50 calls per set size per model.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Anchoring test</w:t>
      </w:r>
      <w:r>
        <w:t xml:space="preserve"> </w:t>
      </w:r>
      <w:r>
        <w:t xml:space="preserve">(§4): every integer 25–40, 15 layouts × 15 repetitions = 225 calls per integer</w:t>
      </w:r>
      <w:r>
        <w:t xml:space="preserve"> </w:t>
      </w:r>
      <w:r>
        <w:t xml:space="preserve">per model, designed specifically to separate round-number anchoring from accuracy.</w:t>
      </w:r>
    </w:p>
    <w:bookmarkEnd w:id="11"/>
    <w:bookmarkStart w:id="12" w:name="X1a82ac20acbeb5b1363fb59a1fa1327dabe3390"/>
    <w:p>
      <w:pPr>
        <w:pStyle w:val="Heading2"/>
      </w:pPr>
      <w:r>
        <w:t xml:space="preserve">3. Results: the analog signature is architecture-general</w:t>
      </w:r>
    </w:p>
    <w:p>
      <w:pPr>
        <w:pStyle w:val="FirstParagraph"/>
      </w:pPr>
      <w:r>
        <w:t xml:space="preserve">All three models show the coarse human signature: accurate on small sets, then estimation whose</w:t>
      </w:r>
      <w:r>
        <w:t xml:space="preserve"> </w:t>
      </w:r>
      <w:r>
        <w:t xml:space="preserve">absolute error grows with the number judged.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Subitizing range.</w:t>
      </w:r>
      <w:r>
        <w:t xml:space="preserve"> </w:t>
      </w:r>
      <w:r>
        <w:t xml:space="preserve">Performance is best at the smallest counts. Notably, only</w:t>
      </w:r>
      <w:r>
        <w:t xml:space="preserve"> </w:t>
      </w:r>
      <w:r>
        <w:rPr>
          <w:b/>
          <w:bCs/>
        </w:rPr>
        <w:t xml:space="preserve">Grok</w:t>
      </w:r>
      <w:r>
        <w:t xml:space="preserve"> </w:t>
      </w:r>
      <w:r>
        <w:t xml:space="preserve">subitizes</w:t>
      </w:r>
      <w:r>
        <w:t xml:space="preserve"> </w:t>
      </w:r>
      <w:r>
        <w:rPr>
          <w:i/>
          <w:iCs/>
        </w:rPr>
        <w:t xml:space="preserve">perfectly</w:t>
      </w:r>
      <w:r>
        <w:t xml:space="preserve"> </w:t>
      </w:r>
      <w:r>
        <w:t xml:space="preserve">(exact, zero variance, for 1–4); both Llama and Gemini make occasional</w:t>
      </w:r>
      <w:r>
        <w:t xml:space="preserve"> </w:t>
      </w:r>
      <w:r>
        <w:t xml:space="preserve">errors even at counts of 2–4. Clean subitizing is therefore the exception among these models,</w:t>
      </w:r>
      <w:r>
        <w:t xml:space="preserve"> </w:t>
      </w:r>
      <w:r>
        <w:t xml:space="preserve">not the rule.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Weberian error growth.</w:t>
      </w:r>
      <w:r>
        <w:t xml:space="preserve"> </w:t>
      </w:r>
      <w:r>
        <w:t xml:space="preserve">Above the subitizing range, the spread of responses widens with the</w:t>
      </w:r>
      <w:r>
        <w:t xml:space="preserve"> </w:t>
      </w:r>
      <w:r>
        <w:t xml:space="preserve">true count — error scaling with magnitude, the analog-estimation signature. The coefficient of</w:t>
      </w:r>
      <w:r>
        <w:t xml:space="preserve"> </w:t>
      </w:r>
      <w:r>
        <w:t xml:space="preserve">variation is present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clean flat constant of the idealized human kind; it wobbles,</w:t>
      </w:r>
      <w:r>
        <w:t xml:space="preserve"> </w:t>
      </w:r>
      <w:r>
        <w:t xml:space="preserve">and is distorted by the round-number clustering documented in §4.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Precision tracks model quality.</w:t>
      </w:r>
      <w:r>
        <w:t xml:space="preserve"> </w:t>
      </w:r>
      <w:r>
        <w:t xml:space="preserve">Gemini, the strongest of the three small models, produces</w:t>
      </w:r>
      <w:r>
        <w:t xml:space="preserve"> </w:t>
      </w:r>
      <w:r>
        <w:t xml:space="preserve">the tightest estimates and never fails. Llama, the weakest, is the noisiest and occasionally</w:t>
      </w:r>
      <w:r>
        <w:t xml:space="preserve"> </w:t>
      </w:r>
      <w:r>
        <w:t xml:space="preserve">breaks down (refusals, garbled output, wild outliers). The analog system appears universal; its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w:r>
        <w:t xml:space="preserve">is capability-dependent.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Systematic under-estimation at high N.</w:t>
      </w:r>
      <w:r>
        <w:t xml:space="preserve"> </w:t>
      </w:r>
      <w:r>
        <w:t xml:space="preserve">All three under-count large sets, the gap widening</w:t>
      </w:r>
      <w:r>
        <w:t xml:space="preserve"> </w:t>
      </w:r>
      <w:r>
        <w:t xml:space="preserve">with N — a compression also seen in humans.</w:t>
      </w:r>
    </w:p>
    <w:p>
      <w:pPr>
        <w:pStyle w:val="FirstParagraph"/>
      </w:pPr>
      <w:r>
        <w:t xml:space="preserve">The basic number-sense shape thus appears across three independent architectures and vendors; it</w:t>
      </w:r>
      <w:r>
        <w:t xml:space="preserve"> </w:t>
      </w:r>
      <w:r>
        <w:t xml:space="preserve">is not an artifact of any one lab’s model.</w:t>
      </w:r>
    </w:p>
    <w:bookmarkEnd w:id="12"/>
    <w:bookmarkStart w:id="19" w:name="Xc37191cda173eb37112a398e053bc8a089b47f4"/>
    <w:p>
      <w:pPr>
        <w:pStyle w:val="Heading2"/>
      </w:pPr>
      <w:r>
        <w:t xml:space="preserve">4. Results: round-number anchoring is general, and varies in strength</w:t>
      </w:r>
    </w:p>
    <w:p>
      <w:pPr>
        <w:pStyle w:val="FirstParagraph"/>
      </w:pPr>
      <w:r>
        <w:t xml:space="preserve">The Weber experiment alone cannot test for round-number anchoring, because its high-N set sizes</w:t>
      </w:r>
      <w:r>
        <w:t xml:space="preserve"> </w:t>
      </w:r>
      <w:r>
        <w:t xml:space="preserve">(15, 20, 25, 30, 40) are themselves mostly round: a model is almost never shown a non-round</w:t>
      </w:r>
      <w:r>
        <w:t xml:space="preserve"> </w:t>
      </w:r>
      <w:r>
        <w:t xml:space="preserve">quantity in the range where rounding would surface. We therefore ran a dedicated test over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integer from 25 to 40</w:t>
      </w:r>
      <w:r>
        <w:t xml:space="preserve">, interleaving round anchors (25, 30, 35, 40) with non-round fillers.</w:t>
      </w:r>
    </w:p>
    <w:p>
      <w:pPr>
        <w:pStyle w:val="BodyText"/>
      </w:pPr>
      <w:r>
        <w:t xml:space="preserve">The clean diagnostic is the</w:t>
      </w:r>
      <w:r>
        <w:t xml:space="preserve"> </w:t>
      </w:r>
      <w:r>
        <w:rPr>
          <w:b/>
          <w:bCs/>
        </w:rPr>
        <w:t xml:space="preserve">modal response</w:t>
      </w:r>
      <w:r>
        <w:t xml:space="preserve"> </w:t>
      </w:r>
      <w:r>
        <w:t xml:space="preserve">— the single most common answer at each true count.</w:t>
      </w:r>
      <w:r>
        <w:t xml:space="preserve"> </w:t>
      </w:r>
      <w:r>
        <w:t xml:space="preserve">If a model anchors, its most likely answer stays</w:t>
      </w:r>
      <w:r>
        <w:t xml:space="preserve"> </w:t>
      </w:r>
      <w:r>
        <w:t xml:space="preserve">“stuck”</w:t>
      </w:r>
      <w:r>
        <w:t xml:space="preserve"> </w:t>
      </w:r>
      <w:r>
        <w:t xml:space="preserve">on a value across a run of consecutive</w:t>
      </w:r>
      <w:r>
        <w:t xml:space="preserve"> </w:t>
      </w:r>
      <w:r>
        <w:t xml:space="preserve">true counts, producing a</w:t>
      </w:r>
      <w:r>
        <w:t xml:space="preserve"> </w:t>
      </w:r>
      <w:r>
        <w:rPr>
          <w:i/>
          <w:iCs/>
        </w:rPr>
        <w:t xml:space="preserve">staircase</w:t>
      </w:r>
      <w:r>
        <w:t xml:space="preserve"> </w:t>
      </w:r>
      <w:r>
        <w:t xml:space="preserve">when modal response is plotted against true count: flat treads</w:t>
      </w:r>
      <w:r>
        <w:t xml:space="preserve"> </w:t>
      </w:r>
      <w:r>
        <w:t xml:space="preserve">on preferred values, with discrete steps between them. If a model estimated without any preferred</w:t>
      </w:r>
      <w:r>
        <w:t xml:space="preserve"> </w:t>
      </w:r>
      <w:r>
        <w:t xml:space="preserve">values, its modal response would climb smoothly with the true count (a diagonal).</w:t>
      </w:r>
    </w:p>
    <w:p>
      <w:pPr>
        <w:pStyle w:val="BodyText"/>
      </w:pPr>
      <w:r>
        <w:rPr>
          <w:b/>
          <w:bCs/>
        </w:rPr>
        <w:t xml:space="preserve">All three models produce staircases, not diagonals.</w:t>
      </w:r>
      <w:r>
        <w:t xml:space="preserve"> </w:t>
      </w:r>
      <w:r>
        <w:t xml:space="preserve">Each one’s modal answer locks onto a value</w:t>
      </w:r>
      <w:r>
        <w:t xml:space="preserve"> </w:t>
      </w:r>
      <w:r>
        <w:t xml:space="preserve">and holds it across a run of true counts before stepping. Their modal sequences (true count 25 → 40):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Grok:</w:t>
      </w:r>
      <w:r>
        <w:t xml:space="preserve"> </w:t>
      </w:r>
      <w:r>
        <w:t xml:space="preserve">25, 25, 25, 25, 25, 25, 25, 25, 25, 25, 25, 32, 32, 40, 40, 40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Gemini:</w:t>
      </w:r>
      <w:r>
        <w:t xml:space="preserve"> </w:t>
      </w:r>
      <w:r>
        <w:t xml:space="preserve">25, 26, 26, 26, 26, 30, 30, 30, 30, 31, 30, 33, 35, 35, 36, 36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Llama:</w:t>
      </w:r>
      <w:r>
        <w:t xml:space="preserve"> </w:t>
      </w:r>
      <w:r>
        <w:t xml:space="preserve">20, 25, 28, 23, 27, 30, 31, 30, 30, 33, 36, 39, 40, 40, 40, 40</w:t>
      </w:r>
    </w:p>
    <w:p>
      <w:pPr>
        <w:pStyle w:val="FirstParagraph"/>
      </w:pPr>
      <w:r>
        <w:t xml:space="preserve">Gemini’s mode holds at ~26 across true counts 26–29, then locks on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across 30–33, then climbs</w:t>
      </w:r>
      <w:r>
        <w:t xml:space="preserve"> </w:t>
      </w:r>
      <w:r>
        <w:t xml:space="preserve">in steps and reaches only 35–36 even when the true count is 40. Llama, noisier, bounces near 25 for</w:t>
      </w:r>
      <w:r>
        <w:t xml:space="preserve"> </w:t>
      </w:r>
      <w:r>
        <w:t xml:space="preserve">25–29, sticks near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for 30–33, then climbs and locks on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for the top four. Grok shows the</w:t>
      </w:r>
      <w:r>
        <w:t xml:space="preserve"> </w:t>
      </w:r>
      <w:r>
        <w:t xml:space="preserve">same behavior in extreme form.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Grok response histograms by true count (anchoring test). Red bars mark multiples of five; the blue dashed line is the true count. At low N the answers pile overwhelmingly on 25 regardless of the true value." title="" id="14" name="Picture"/>
            <a:graphic>
              <a:graphicData uri="http://schemas.openxmlformats.org/drawingml/2006/picture">
                <pic:pic>
                  <pic:nvPicPr>
                    <pic:cNvPr descr="anchoring/figures/anchor_grok_his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Grok response histograms by true count (anchoring test). Red bars mark multiples of five; the blue dashed line is the true count. At low N the answers pile overwhelmingly on 25 regardless of the true value.</w:t>
      </w:r>
    </w:p>
    <w:p>
      <w:pPr>
        <w:pStyle w:val="BodyText"/>
      </w:pPr>
      <w:r>
        <w:t xml:space="preserve">Three quantitative measures (true counts 25–40; for a non-anchoring estimator, chance gives a modal</w:t>
      </w:r>
      <w:r>
        <w:t xml:space="preserve"> </w:t>
      </w:r>
      <w:r>
        <w:t xml:space="preserve">multiple-of-five at ~4/16 and ~20% of all answers on a multiple of five):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Grok (xAI)</w:t>
            </w:r>
          </w:p>
        </w:tc>
        <w:tc>
          <w:tcPr/>
          <w:p>
            <w:pPr>
              <w:pStyle w:val="Compact"/>
            </w:pPr>
            <w:r>
              <w:t xml:space="preserve">Gemini (Google)</w:t>
            </w:r>
          </w:p>
        </w:tc>
        <w:tc>
          <w:tcPr/>
          <w:p>
            <w:pPr>
              <w:pStyle w:val="Compact"/>
            </w:pPr>
            <w:r>
              <w:t xml:space="preserve">Llama (Meta)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counts whose</w:t>
            </w:r>
            <w:r>
              <w:t xml:space="preserve"> </w:t>
            </w:r>
            <w:r>
              <w:rPr>
                <w:b/>
                <w:bCs/>
              </w:rPr>
              <w:t xml:space="preserve">mode is a multiple of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/ 16</w:t>
            </w:r>
          </w:p>
        </w:tc>
        <w:tc>
          <w:tcPr/>
          <w:p>
            <w:pPr>
              <w:pStyle w:val="Compact"/>
            </w:pPr>
            <w:r>
              <w:t xml:space="preserve">8 / 16</w:t>
            </w:r>
          </w:p>
        </w:tc>
        <w:tc>
          <w:tcPr/>
          <w:p>
            <w:pPr>
              <w:pStyle w:val="Compact"/>
            </w:pPr>
            <w:r>
              <w:t xml:space="preserve">9 /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Widest</w:t>
            </w:r>
            <w:r>
              <w:t xml:space="preserve"> </w:t>
            </w:r>
            <w:r>
              <w:rPr>
                <w:b/>
                <w:bCs/>
              </w:rPr>
              <w:t xml:space="preserve">capture zone</w:t>
            </w:r>
            <w:r>
              <w:t xml:space="preserve"> </w:t>
            </w:r>
            <w:r>
              <w:t xml:space="preserve">(consecutive true counts sharing one locked mode)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(value 25)</w:t>
            </w:r>
          </w:p>
        </w:tc>
        <w:tc>
          <w:tcPr/>
          <w:p>
            <w:pPr>
              <w:pStyle w:val="Compact"/>
            </w:pPr>
            <w:r>
              <w:t xml:space="preserve">4 (values 26, 30)</w:t>
            </w:r>
          </w:p>
        </w:tc>
        <w:tc>
          <w:tcPr/>
          <w:p>
            <w:pPr>
              <w:pStyle w:val="Compact"/>
            </w:pPr>
            <w:r>
              <w:t xml:space="preserve">4 (value 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answers on a multiple of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55 %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26 %</w:t>
            </w:r>
          </w:p>
        </w:tc>
      </w:tr>
    </w:tbl>
    <w:p>
      <w:pPr>
        <w:pStyle w:val="BodyText"/>
      </w:pPr>
      <w:r>
        <w:t xml:space="preserve">The pattern is consistent across all three labs: round-number/value anchoring is present in every</w:t>
      </w:r>
      <w:r>
        <w:t xml:space="preserve"> </w:t>
      </w:r>
      <w:r>
        <w:t xml:space="preserve">model, manifesting as modal plateaus that lock onto preferred values and step between them. What</w:t>
      </w:r>
      <w:r>
        <w:t xml:space="preserve"> </w:t>
      </w:r>
      <w:r>
        <w:t xml:space="preserve">differs is</w:t>
      </w:r>
      <w:r>
        <w:t xml:space="preserve"> </w:t>
      </w:r>
      <w:r>
        <w:rPr>
          <w:b/>
          <w:bCs/>
        </w:rPr>
        <w:t xml:space="preserve">strength</w:t>
      </w:r>
      <w:r>
        <w:t xml:space="preserve">. Grok is extreme — its mode holds the value 25 across eleven consecutive</w:t>
      </w:r>
      <w:r>
        <w:t xml:space="preserve"> </w:t>
      </w:r>
      <w:r>
        <w:t xml:space="preserve">true counts, nearly all of its modal answers are multiples of five, and a clear majority (55%)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its responses are multiples of five, far above the ~20% chance baseline. Gemini and Llama are</w:t>
      </w:r>
      <w:r>
        <w:t xml:space="preserve"> </w:t>
      </w:r>
      <w:r>
        <w:t xml:space="preserve">milder: their overall multiple-of-five rates sit only just above chance (25–26%), but their</w:t>
      </w:r>
      <w:r>
        <w:t xml:space="preserve"> </w:t>
      </w:r>
      <w:r>
        <w:rPr>
          <w:i/>
          <w:iCs/>
        </w:rPr>
        <w:t xml:space="preserve">modal</w:t>
      </w:r>
      <w:r>
        <w:t xml:space="preserve"> </w:t>
      </w:r>
      <w:r>
        <w:t xml:space="preserve">answers nonetheless lock into round plateaus (four-count treads on 26, 30, and 40), which is the</w:t>
      </w:r>
      <w:r>
        <w:t xml:space="preserve"> </w:t>
      </w:r>
      <w:r>
        <w:t xml:space="preserve">anchoring signature appearing in the mode even when the bulk distribution looks near-chance.</w:t>
      </w:r>
    </w:p>
    <w:p>
      <w:pPr>
        <w:pStyle w:val="BodyText"/>
      </w:pPr>
      <w:r>
        <w:t xml:space="preserve">Round-number anchoring is a documented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estimation strategy (anchoring-and-adjustment; the</w:t>
      </w:r>
      <w:r>
        <w:t xml:space="preserve"> </w:t>
      </w:r>
      <w:r>
        <w:t xml:space="preserve">clustering of numerosity estimates on round values — Tversky &amp; Kahneman, 1974; Solstad et al.,</w:t>
      </w:r>
      <w:r>
        <w:t xml:space="preserve"> </w:t>
      </w:r>
      <w:r>
        <w:t xml:space="preserve">2026), and is thus a point of convergence between model and human cognition. Our data indicate this</w:t>
      </w:r>
      <w:r>
        <w:t xml:space="preserve"> </w:t>
      </w:r>
      <w:r>
        <w:t xml:space="preserve">convergence is</w:t>
      </w:r>
      <w:r>
        <w:t xml:space="preserve"> </w:t>
      </w:r>
      <w:r>
        <w:rPr>
          <w:b/>
          <w:bCs/>
        </w:rPr>
        <w:t xml:space="preserve">architecture-general in kind but model-specific in degree</w:t>
      </w:r>
      <w:r>
        <w:t xml:space="preserve">: every model anchors,</w:t>
      </w:r>
      <w:r>
        <w:t xml:space="preserve"> </w:t>
      </w:r>
      <w:r>
        <w:t xml:space="preserve">and they differ markedly in how wide the capture zones are and how strongly the responses pile onto</w:t>
      </w:r>
      <w:r>
        <w:t xml:space="preserve"> </w:t>
      </w:r>
      <w:r>
        <w:t xml:space="preserve">round values.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Round-number anchoring across three models. Left: modal (most-common) response vs. true count. Every model’s modal answer locks onto values (the red multiple-of-five lines) and holds them across runs of true counts before stepping — a staircase. Grok (red) has the widest capture (25 held across true 25-35); Gemini (blue) steps 26 -&gt; 30 -&gt; 35; Llama (green) is noisier and locks onto 40 at the top. Right: mean response vs. true count, where all three under-estimate." title="" id="17" name="Picture"/>
            <a:graphic>
              <a:graphicData uri="http://schemas.openxmlformats.org/drawingml/2006/picture">
                <pic:pic>
                  <pic:nvPicPr>
                    <pic:cNvPr descr="anchoring/figures/anchor_three_mode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Round-number anchoring across three models. Left: modal (most-common) response vs. true count. Every model’s modal answer locks onto values (the red multiple-of-five lines) and holds them across runs of true counts before stepping — a staircase. Grok (red) has the widest capture (25 held across true 25-35); Gemini (blue) steps 26 -&gt; 30 -&gt; 35; Llama (green) is noisier and locks onto 40 at the top. Right: mean response vs. true count, where all three under-estimate.</w:t>
      </w:r>
    </w:p>
    <w:bookmarkEnd w:id="19"/>
    <w:bookmarkStart w:id="20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Two layers appear in these data. The</w:t>
      </w:r>
      <w:r>
        <w:t xml:space="preserve"> </w:t>
      </w:r>
      <w:r>
        <w:rPr>
          <w:b/>
          <w:bCs/>
        </w:rPr>
        <w:t xml:space="preserve">analog magnitude layer</w:t>
      </w:r>
      <w:r>
        <w:t xml:space="preserve"> </w:t>
      </w:r>
      <w:r>
        <w:t xml:space="preserve">— subitizing followed by</w:t>
      </w:r>
      <w:r>
        <w:t xml:space="preserve"> </w:t>
      </w:r>
      <w:r>
        <w:t xml:space="preserve">magnitude-scaled estimation error — is shared across all three models and matches the human core</w:t>
      </w:r>
      <w:r>
        <w:t xml:space="preserve"> </w:t>
      </w:r>
      <w:r>
        <w:t xml:space="preserve">number sense in shape. The</w:t>
      </w:r>
      <w:r>
        <w:t xml:space="preserve"> </w:t>
      </w:r>
      <w:r>
        <w:rPr>
          <w:b/>
          <w:bCs/>
        </w:rPr>
        <w:t xml:space="preserve">decision-strategy layer</w:t>
      </w:r>
      <w:r>
        <w:t xml:space="preserve"> </w:t>
      </w:r>
      <w:r>
        <w:t xml:space="preserve">that humans lay on top of the analog</w:t>
      </w:r>
      <w:r>
        <w:t xml:space="preserve"> </w:t>
      </w:r>
      <w:r>
        <w:t xml:space="preserve">estimate — comparison to references, partitioning, and round-number anchoring — also appears across</w:t>
      </w:r>
      <w:r>
        <w:t xml:space="preserve"> </w:t>
      </w:r>
      <w:r>
        <w:t xml:space="preserve">all three, but its</w:t>
      </w:r>
      <w:r>
        <w:t xml:space="preserve"> </w:t>
      </w:r>
      <w:r>
        <w:rPr>
          <w:i/>
          <w:iCs/>
        </w:rPr>
        <w:t xml:space="preserve">strength</w:t>
      </w:r>
      <w:r>
        <w:t xml:space="preserve"> </w:t>
      </w:r>
      <w:r>
        <w:t xml:space="preserve">varies sharply by model: pronounced in Grok (wide capture zones, a</w:t>
      </w:r>
      <w:r>
        <w:t xml:space="preserve"> </w:t>
      </w:r>
      <w:r>
        <w:t xml:space="preserve">majority of answers on round values), milder in Gemini and Llama (short modal plateaus, bulk</w:t>
      </w:r>
      <w:r>
        <w:t xml:space="preserve"> </w:t>
      </w:r>
      <w:r>
        <w:t xml:space="preserve">distributions only just above chance).</w:t>
      </w:r>
    </w:p>
    <w:p>
      <w:pPr>
        <w:pStyle w:val="BodyText"/>
      </w:pPr>
      <w:r>
        <w:t xml:space="preserve">This maps onto a useful framing of human numerical cognition itself, in which a shared, evolutionarily</w:t>
      </w:r>
      <w:r>
        <w:t xml:space="preserve"> </w:t>
      </w:r>
      <w:r>
        <w:t xml:space="preserve">old analog system is augmented by learned, language-mediated procedures. The models reproduce the</w:t>
      </w:r>
      <w:r>
        <w:t xml:space="preserve"> </w:t>
      </w:r>
      <w:r>
        <w:t xml:space="preserve">analog layer near-universally and also exhibit the round-number-anchoring strategy near-universally,</w:t>
      </w:r>
      <w:r>
        <w:t xml:space="preserve"> </w:t>
      </w:r>
      <w:r>
        <w:t xml:space="preserve">differing in how strongly that strategy is expressed. We summarize this as each model having its own</w:t>
      </w:r>
      <w:r>
        <w:t xml:space="preserve"> </w:t>
      </w:r>
      <w:r>
        <w:t xml:space="preserve">“numerical personality”</w:t>
      </w:r>
      <w:r>
        <w:t xml:space="preserve">: the broad shape is convergent in kind, the degree of each feature is not.</w:t>
      </w:r>
    </w:p>
    <w:p>
      <w:pPr>
        <w:pStyle w:val="BodyText"/>
      </w:pPr>
      <w:r>
        <w:t xml:space="preserve">A note on the round-number result and human comparison: it would be a mistake to read this</w:t>
      </w:r>
      <w:r>
        <w:t xml:space="preserve"> </w:t>
      </w:r>
      <w:r>
        <w:t xml:space="preserve">anchoring as a</w:t>
      </w:r>
      <w:r>
        <w:t xml:space="preserve"> </w:t>
      </w:r>
      <w:r>
        <w:rPr>
          <w:i/>
          <w:iCs/>
        </w:rPr>
        <w:t xml:space="preserve">non-human</w:t>
      </w:r>
      <w:r>
        <w:t xml:space="preserve"> </w:t>
      </w:r>
      <w:r>
        <w:t xml:space="preserve">quirk. Humans anchor on round numbers in exactly this paradigm. The</w:t>
      </w:r>
      <w:r>
        <w:t xml:space="preserve"> </w:t>
      </w:r>
      <w:r>
        <w:t xml:space="preserve">models’ anchoring is, if anything, a point of convergence with human decision strategy — and what</w:t>
      </w:r>
      <w:r>
        <w:t xml:space="preserve"> </w:t>
      </w:r>
      <w:r>
        <w:t xml:space="preserve">the cross-model picture adds is that the</w:t>
      </w:r>
      <w:r>
        <w:t xml:space="preserve"> </w:t>
      </w:r>
      <w:r>
        <w:rPr>
          <w:i/>
          <w:iCs/>
        </w:rPr>
        <w:t xml:space="preserve">degree</w:t>
      </w:r>
      <w:r>
        <w:t xml:space="preserve"> </w:t>
      </w:r>
      <w:r>
        <w:t xml:space="preserve">of this convergence is model-dependent.</w:t>
      </w:r>
    </w:p>
    <w:p>
      <w:pPr>
        <w:pStyle w:val="BodyText"/>
      </w:pPr>
      <w:r>
        <w:rPr>
          <w:i/>
          <w:iCs/>
        </w:rPr>
        <w:t xml:space="preserve">A casual, non-load-bearing observation, offered only as a direction for future work and not as a</w:t>
      </w:r>
      <w:r>
        <w:rPr>
          <w:i/>
          <w:iCs/>
        </w:rP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in separate, earlier color-perception work, one of these models (Grok) tended to hold a</w:t>
      </w:r>
      <w:r>
        <w:t xml:space="preserve"> </w:t>
      </w:r>
      <w:r>
        <w:t xml:space="preserve">canonical reference value — a named color,</w:t>
      </w:r>
      <w:r>
        <w:t xml:space="preserve"> </w:t>
      </w:r>
      <w:r>
        <w:t xml:space="preserve">“school-bus yellow,”</w:t>
      </w:r>
      <w:r>
        <w:t xml:space="preserve"> </w:t>
      </w:r>
      <w:r>
        <w:t xml:space="preserve">cited to a standard — against a</w:t>
      </w:r>
      <w:r>
        <w:t xml:space="preserve"> </w:t>
      </w:r>
      <w:r>
        <w:t xml:space="preserve">gradually shifting perceptual input longer than other models, and to manufacture precise-sounding</w:t>
      </w:r>
      <w:r>
        <w:t xml:space="preserve"> </w:t>
      </w:r>
      <w:r>
        <w:t xml:space="preserve">reference values when pressed. Whether this loosely resembles the number-anchoring behavior, and</w:t>
      </w:r>
      <w:r>
        <w:t xml:space="preserve"> </w:t>
      </w:r>
      <w:r>
        <w:t xml:space="preserve">whether either reflects something specific about how the model was trained, cannot be settled here;</w:t>
      </w:r>
      <w:r>
        <w:t xml:space="preserve"> </w:t>
      </w:r>
      <w:r>
        <w:t xml:space="preserve">a dedicated cross-paradigm, same-generation study would be required to make any such claim. We note</w:t>
      </w:r>
      <w:r>
        <w:t xml:space="preserve"> </w:t>
      </w:r>
      <w:r>
        <w:t xml:space="preserve">it only as a possibility worth examining.</w:t>
      </w:r>
    </w:p>
    <w:bookmarkEnd w:id="20"/>
    <w:bookmarkStart w:id="21" w:name="X45c816d7082da9f953f503821044cfcbdddb551"/>
    <w:p>
      <w:pPr>
        <w:pStyle w:val="Heading2"/>
      </w:pPr>
      <w:r>
        <w:t xml:space="preserve">6. A note on methodology: scripts collect, humans read</w:t>
      </w:r>
    </w:p>
    <w:p>
      <w:pPr>
        <w:pStyle w:val="FirstParagraph"/>
      </w:pPr>
      <w:r>
        <w:t xml:space="preserve">Every numeric result above was obtained by</w:t>
      </w:r>
      <w:r>
        <w:t xml:space="preserve"> </w:t>
      </w:r>
      <w:r>
        <w:rPr>
          <w:b/>
          <w:bCs/>
        </w:rPr>
        <w:t xml:space="preserve">reading</w:t>
      </w:r>
      <w:r>
        <w:t xml:space="preserve"> </w:t>
      </w:r>
      <w:r>
        <w:t xml:space="preserve">the model responses, not by extracting</w:t>
      </w:r>
      <w:r>
        <w:t xml:space="preserve"> </w:t>
      </w:r>
      <w:r>
        <w:t xml:space="preserve">answers with a script. This is deliberate. Automated extraction of</w:t>
      </w:r>
      <w:r>
        <w:t xml:space="preserve"> </w:t>
      </w:r>
      <w:r>
        <w:t xml:space="preserve">“the answer”</w:t>
      </w:r>
      <w:r>
        <w:t xml:space="preserve"> </w:t>
      </w:r>
      <w:r>
        <w:t xml:space="preserve">from a</w:t>
      </w:r>
      <w:r>
        <w:t xml:space="preserve"> </w:t>
      </w:r>
      <w:r>
        <w:t xml:space="preserve">language-model response is unreliable for anything beyond the most trivial outputs: models narrate</w:t>
      </w:r>
      <w:r>
        <w:t xml:space="preserve"> </w:t>
      </w:r>
      <w:r>
        <w:t xml:space="preserve">a count before committing to a total, self-correct mid-response, answer in an unexpected register,</w:t>
      </w:r>
      <w:r>
        <w:t xml:space="preserve"> </w:t>
      </w:r>
      <w:r>
        <w:t xml:space="preserve">or produce ranges and refusals. A regular expression that reduces all of this to a single integer</w:t>
      </w:r>
      <w:r>
        <w:t xml:space="preserve"> </w:t>
      </w:r>
      <w:r>
        <w:t xml:space="preserve">can silently produce</w:t>
      </w:r>
      <w:r>
        <w:t xml:space="preserve"> </w:t>
      </w:r>
      <w:r>
        <w:rPr>
          <w:i/>
          <w:iCs/>
        </w:rPr>
        <w:t xml:space="preserve">unreliable data</w:t>
      </w:r>
      <w:r>
        <w:t xml:space="preserve">, not merely unreliable analysis — for example by grabbing a</w:t>
      </w:r>
      <w:r>
        <w:t xml:space="preserve"> </w:t>
      </w:r>
      <w:r>
        <w:t xml:space="preserve">digit out of an enumeration list rather than the final committed total.</w:t>
      </w:r>
    </w:p>
    <w:p>
      <w:pPr>
        <w:pStyle w:val="BodyText"/>
      </w:pPr>
      <w:r>
        <w:t xml:space="preserve">The harness therefore writes every full response to disk, and analysis is performed by reading those</w:t>
      </w:r>
      <w:r>
        <w:t xml:space="preserve"> </w:t>
      </w:r>
      <w:r>
        <w:t xml:space="preserve">responses; the answer-extraction is done by a human reader, with every ambiguous case (self-</w:t>
      </w:r>
      <w:r>
        <w:t xml:space="preserve"> </w:t>
      </w:r>
      <w:r>
        <w:t xml:space="preserve">corrections, ranges, refusals) adjudicated explicitly and recorded. This repository publishes all</w:t>
      </w:r>
      <w:r>
        <w:t xml:space="preserve"> </w:t>
      </w:r>
      <w:r>
        <w:t xml:space="preserve">raw responses so that any reader can re-score them independently. The visualization scripts operate</w:t>
      </w:r>
      <w:r>
        <w:t xml:space="preserve"> </w:t>
      </w:r>
      <w:r>
        <w:t xml:space="preserve">only on the human-read answer values, never on raw model output.</w:t>
      </w:r>
    </w:p>
    <w:bookmarkEnd w:id="21"/>
    <w:bookmarkStart w:id="22" w:name="limitations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6"/>
        </w:numPr>
      </w:pPr>
      <w:r>
        <w:t xml:space="preserve">All three models are small/cheap-tier. Whether estimation precision keeps improving, and whether</w:t>
      </w:r>
      <w:r>
        <w:t xml:space="preserve"> </w:t>
      </w:r>
      <w:r>
        <w:t xml:space="preserve">anchoring emerges, at frontier scale is open.</w:t>
      </w:r>
    </w:p>
    <w:p>
      <w:pPr>
        <w:pStyle w:val="Compact"/>
        <w:numPr>
          <w:ilvl w:val="0"/>
          <w:numId w:val="1006"/>
        </w:numPr>
      </w:pPr>
      <w:r>
        <w:t xml:space="preserve">One prompt, one session per condition. Robustness to prompt variation is untested here.</w:t>
      </w:r>
    </w:p>
    <w:p>
      <w:pPr>
        <w:pStyle w:val="Compact"/>
        <w:numPr>
          <w:ilvl w:val="0"/>
          <w:numId w:val="1006"/>
        </w:numPr>
      </w:pPr>
      <w:r>
        <w:t xml:space="preserve">The coefficient of variation is reported as observed rather than fit to a constant-CV model; the</w:t>
      </w:r>
      <w:r>
        <w:t xml:space="preserve"> </w:t>
      </w:r>
      <w:r>
        <w:t xml:space="preserve">high-N under-estimation conflates genuine estimation compression with, in Grok’s case,</w:t>
      </w:r>
      <w:r>
        <w:t xml:space="preserve"> </w:t>
      </w:r>
      <w:r>
        <w:t xml:space="preserve">round-number snapping.</w:t>
      </w:r>
    </w:p>
    <w:p>
      <w:pPr>
        <w:pStyle w:val="Compact"/>
        <w:numPr>
          <w:ilvl w:val="0"/>
          <w:numId w:val="1006"/>
        </w:numPr>
      </w:pPr>
      <w:r>
        <w:t xml:space="preserve">Llama’s noise (refusals, garble, outliers) partly reflects model capacity, not only a different</w:t>
      </w:r>
      <w:r>
        <w:t xml:space="preserve"> </w:t>
      </w:r>
      <w:r>
        <w:t xml:space="preserve">number sense; its</w:t>
      </w:r>
      <w:r>
        <w:t xml:space="preserve"> </w:t>
      </w:r>
      <w:r>
        <w:t xml:space="preserve">“tracking”</w:t>
      </w:r>
      <w:r>
        <w:t xml:space="preserve"> </w:t>
      </w:r>
      <w:r>
        <w:t xml:space="preserve">classification is robust but its data are messy.</w:t>
      </w:r>
    </w:p>
    <w:p>
      <w:pPr>
        <w:pStyle w:val="Compact"/>
        <w:numPr>
          <w:ilvl w:val="0"/>
          <w:numId w:val="1006"/>
        </w:numPr>
      </w:pPr>
      <w:r>
        <w:t xml:space="preserve">Scoring by reading, while more reliable than parsing for this material, is not blinded; the</w:t>
      </w:r>
      <w:r>
        <w:t xml:space="preserve"> </w:t>
      </w:r>
      <w:r>
        <w:t xml:space="preserve">per-response judgments and every ambiguous case are published for audit.</w:t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Gordon, P. (2004). Numerical cognition without words: Evidence from Amazonia.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t xml:space="preserve">306(5695), 496–499.</w:t>
      </w:r>
    </w:p>
    <w:p>
      <w:pPr>
        <w:pStyle w:val="Compact"/>
        <w:numPr>
          <w:ilvl w:val="0"/>
          <w:numId w:val="1007"/>
        </w:numPr>
      </w:pPr>
      <w:r>
        <w:t xml:space="preserve">Solstad, T., Kaspersen, E., Romijn, E. I., &amp; Hodgen, J. (2026). Decision-level processes in rapid</w:t>
      </w:r>
      <w:r>
        <w:t xml:space="preserve"> </w:t>
      </w:r>
      <w:r>
        <w:t xml:space="preserve">numerosity estimation.</w:t>
      </w:r>
      <w:r>
        <w:t xml:space="preserve"> </w:t>
      </w:r>
      <w:r>
        <w:rPr>
          <w:i/>
          <w:iCs/>
        </w:rPr>
        <w:t xml:space="preserve">Cognition</w:t>
      </w:r>
      <w:r>
        <w:t xml:space="preserve">, 273, 106511. (Open access, CC-BY.)</w:t>
      </w:r>
    </w:p>
    <w:p>
      <w:pPr>
        <w:pStyle w:val="Compact"/>
        <w:numPr>
          <w:ilvl w:val="0"/>
          <w:numId w:val="1007"/>
        </w:numPr>
      </w:pPr>
      <w:r>
        <w:t xml:space="preserve">Tversky, A., &amp; Kahneman, D. (1974). Judgment under uncertainty: Heuristics and biases.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t xml:space="preserve">185(4157), 1124–1131.</w:t>
      </w:r>
    </w:p>
    <w:p>
      <w:pPr>
        <w:pStyle w:val="Compact"/>
        <w:numPr>
          <w:ilvl w:val="0"/>
          <w:numId w:val="1007"/>
        </w:numPr>
      </w:pPr>
      <w:r>
        <w:t xml:space="preserve">Whalen, J., Gallistel, C. R., &amp; Gelman, R. (1999). Nonverbal counting in humans: The psychophysics</w:t>
      </w:r>
      <w:r>
        <w:t xml:space="preserve"> </w:t>
      </w:r>
      <w:r>
        <w:t xml:space="preserve">of number representation.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, 10(2), 130–137.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Data, stimuli, raw model responses, and analysis code: github.com/tedinoue/cogpsych-llm.</w:t>
      </w:r>
      <w:r>
        <w:rPr>
          <w:i/>
          <w:iCs/>
        </w:rPr>
        <w:t xml:space="preserve"> </w:t>
      </w:r>
      <w:r>
        <w:rPr>
          <w:i/>
          <w:iCs/>
        </w:rPr>
        <w:t xml:space="preserve">Code under MIT; data, figures, and text under CC-BY-4.0.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8"/>
        <w:szCs w:val="28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2026-06-28T01:37:42Z</dcterms:created>
  <dcterms:modified xsi:type="dcterms:W3CDTF">2026-06-28T01:37:42Z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