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5E113F" w14:textId="77777777" w:rsidR="00D9584F" w:rsidRPr="00D9584F" w:rsidRDefault="00D9584F" w:rsidP="00D9584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9584F">
        <w:rPr>
          <w:rFonts w:ascii="Times New Roman" w:eastAsia="Times New Roman" w:hAnsi="Times New Roman" w:cs="Times New Roman"/>
          <w:b/>
          <w:bCs/>
          <w:kern w:val="0"/>
          <w:sz w:val="27"/>
          <w:szCs w:val="27"/>
          <w:lang w:eastAsia="fr-FR"/>
          <w14:ligatures w14:val="none"/>
        </w:rPr>
        <w:t>Analyse Factorielle en Composantes Principales (ACP)</w:t>
      </w:r>
    </w:p>
    <w:p w14:paraId="6E1513BE" w14:textId="5460ED83" w:rsidR="00D9584F" w:rsidRPr="00D9584F" w:rsidRDefault="00D9584F" w:rsidP="00D9584F">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584F">
        <w:rPr>
          <w:rFonts w:ascii="Times New Roman" w:eastAsia="Times New Roman" w:hAnsi="Times New Roman" w:cs="Times New Roman"/>
          <w:kern w:val="0"/>
          <w:lang w:eastAsia="fr-FR"/>
          <w14:ligatures w14:val="none"/>
        </w:rPr>
        <w:t xml:space="preserve">Afin d’effectuer l’analyse en composantes principales sur les transactions immobilières, nous devons d’abord préparer les données. Les attributs de notre ensemble de données - la valeur foncière, la surface réelle bâtie et le nombre de pièces principales - ne prennent pas des valeurs du même ordre de grandeur. Pour pouvoir comparer ces valeurs, nous allons centrer et réduire toutes les données. Cela nous permettra d’identifier les principales composantes, et en appliquant la règle de Kaiser, nous déterminerons le nombre de composantes principales à </w:t>
      </w:r>
      <w:r w:rsidR="00707216" w:rsidRPr="00D9584F">
        <w:rPr>
          <w:rFonts w:ascii="Times New Roman" w:eastAsia="Times New Roman" w:hAnsi="Times New Roman" w:cs="Times New Roman"/>
          <w:kern w:val="0"/>
          <w:lang w:eastAsia="fr-FR"/>
          <w14:ligatures w14:val="none"/>
        </w:rPr>
        <w:t>conserver</w:t>
      </w:r>
      <w:r w:rsidR="00707216">
        <w:rPr>
          <w:rFonts w:ascii="Times New Roman" w:eastAsia="Times New Roman" w:hAnsi="Times New Roman" w:cs="Times New Roman"/>
          <w:kern w:val="0"/>
          <w:lang w:eastAsia="fr-FR"/>
          <w14:ligatures w14:val="none"/>
        </w:rPr>
        <w:t xml:space="preserve">, </w:t>
      </w:r>
      <w:r w:rsidR="00707216" w:rsidRPr="00D9584F">
        <w:rPr>
          <w:rFonts w:ascii="Times New Roman" w:eastAsia="Times New Roman" w:hAnsi="Times New Roman" w:cs="Times New Roman"/>
          <w:kern w:val="0"/>
          <w:lang w:eastAsia="fr-FR"/>
          <w14:ligatures w14:val="none"/>
        </w:rPr>
        <w:t>les</w:t>
      </w:r>
      <w:r w:rsidRPr="00D9584F">
        <w:rPr>
          <w:rFonts w:ascii="Times New Roman" w:eastAsia="Times New Roman" w:hAnsi="Times New Roman" w:cs="Times New Roman"/>
          <w:kern w:val="0"/>
          <w:lang w:eastAsia="fr-FR"/>
          <w14:ligatures w14:val="none"/>
        </w:rPr>
        <w:t xml:space="preserve"> composantes principales qui expliquent une variance significative dans les données sont gardées pour l’analyse.</w:t>
      </w:r>
    </w:p>
    <w:p w14:paraId="69F367B5" w14:textId="77777777" w:rsidR="00D9584F" w:rsidRDefault="00D9584F" w:rsidP="00D9584F">
      <w:pPr>
        <w:spacing w:before="100" w:beforeAutospacing="1" w:after="100" w:afterAutospacing="1" w:line="240" w:lineRule="auto"/>
        <w:jc w:val="cente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drawing>
          <wp:inline distT="0" distB="0" distL="0" distR="0" wp14:anchorId="5AD22E56" wp14:editId="5A1BA53C">
            <wp:extent cx="5549705" cy="2802381"/>
            <wp:effectExtent l="0" t="0" r="0" b="0"/>
            <wp:docPr id="753181158" name="Image 2" descr="Une image contenant ligne, diagramme, Tracé,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81158" name="Image 2" descr="Une image contenant ligne, diagramme, Tracé, Parallèle&#10;&#10;Description générée automatiquemen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80364" cy="2817863"/>
                    </a:xfrm>
                    <a:prstGeom prst="rect">
                      <a:avLst/>
                    </a:prstGeom>
                  </pic:spPr>
                </pic:pic>
              </a:graphicData>
            </a:graphic>
          </wp:inline>
        </w:drawing>
      </w:r>
    </w:p>
    <w:p w14:paraId="4024FFA3" w14:textId="2523D01B" w:rsidR="00D9584F" w:rsidRPr="00D9584F" w:rsidRDefault="00D9584F" w:rsidP="00D9584F">
      <w:pPr>
        <w:spacing w:before="100" w:beforeAutospacing="1" w:after="100" w:afterAutospacing="1" w:line="240" w:lineRule="auto"/>
        <w:jc w:val="cente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drawing>
          <wp:inline distT="0" distB="0" distL="0" distR="0" wp14:anchorId="37A74392" wp14:editId="64B8EB32">
            <wp:extent cx="3523957" cy="2794100"/>
            <wp:effectExtent l="0" t="0" r="635" b="6350"/>
            <wp:docPr id="1654446659" name="Image 1" descr="Une image contenant ligne, cercl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46659" name="Image 1" descr="Une image contenant ligne, cercle, diagramme&#10;&#10;Description générée automatiquement"/>
                    <pic:cNvPicPr/>
                  </pic:nvPicPr>
                  <pic:blipFill>
                    <a:blip r:embed="rId5">
                      <a:extLst>
                        <a:ext uri="{28A0092B-C50C-407E-A947-70E740481C1C}">
                          <a14:useLocalDpi xmlns:a14="http://schemas.microsoft.com/office/drawing/2010/main" val="0"/>
                        </a:ext>
                      </a:extLst>
                    </a:blip>
                    <a:stretch>
                      <a:fillRect/>
                    </a:stretch>
                  </pic:blipFill>
                  <pic:spPr>
                    <a:xfrm>
                      <a:off x="0" y="0"/>
                      <a:ext cx="3533803" cy="2801907"/>
                    </a:xfrm>
                    <a:prstGeom prst="rect">
                      <a:avLst/>
                    </a:prstGeom>
                  </pic:spPr>
                </pic:pic>
              </a:graphicData>
            </a:graphic>
          </wp:inline>
        </w:drawing>
      </w:r>
    </w:p>
    <w:p w14:paraId="29888A8C" w14:textId="77777777" w:rsidR="00D9584F" w:rsidRDefault="00D9584F" w:rsidP="00D9584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p>
    <w:p w14:paraId="5B50AA96" w14:textId="77777777" w:rsidR="00D9584F" w:rsidRDefault="00D9584F" w:rsidP="00D9584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p>
    <w:p w14:paraId="6B6FCB00" w14:textId="7637F220" w:rsidR="00D9584F" w:rsidRPr="00D9584F" w:rsidRDefault="00D9584F" w:rsidP="00D9584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9584F">
        <w:rPr>
          <w:rFonts w:ascii="Times New Roman" w:eastAsia="Times New Roman" w:hAnsi="Times New Roman" w:cs="Times New Roman"/>
          <w:b/>
          <w:bCs/>
          <w:kern w:val="0"/>
          <w:sz w:val="27"/>
          <w:szCs w:val="27"/>
          <w:lang w:eastAsia="fr-FR"/>
          <w14:ligatures w14:val="none"/>
        </w:rPr>
        <w:t>Commentaires sur le Nuage de Points</w:t>
      </w:r>
    </w:p>
    <w:p w14:paraId="3ACBA640" w14:textId="55413673" w:rsidR="00D9584F" w:rsidRPr="00D9584F" w:rsidRDefault="00D9584F" w:rsidP="00D9584F">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584F">
        <w:rPr>
          <w:rFonts w:ascii="Times New Roman" w:eastAsia="Times New Roman" w:hAnsi="Times New Roman" w:cs="Times New Roman"/>
          <w:kern w:val="0"/>
          <w:lang w:eastAsia="fr-FR"/>
          <w14:ligatures w14:val="none"/>
        </w:rPr>
        <w:lastRenderedPageBreak/>
        <w:t xml:space="preserve">Le nuage de points montre comment les différentes communes se répartissent selon les nouvelles dimensions dans les différentes années. Les graphiques montrent cette répartition </w:t>
      </w:r>
      <w:r>
        <w:rPr>
          <w:rFonts w:ascii="Times New Roman" w:eastAsia="Times New Roman" w:hAnsi="Times New Roman" w:cs="Times New Roman"/>
          <w:kern w:val="0"/>
          <w:lang w:eastAsia="fr-FR"/>
          <w14:ligatures w14:val="none"/>
        </w:rPr>
        <w:t xml:space="preserve">par rapport </w:t>
      </w:r>
      <w:r w:rsidR="00707216">
        <w:rPr>
          <w:rFonts w:ascii="Times New Roman" w:eastAsia="Times New Roman" w:hAnsi="Times New Roman" w:cs="Times New Roman"/>
          <w:kern w:val="0"/>
          <w:lang w:eastAsia="fr-FR"/>
          <w14:ligatures w14:val="none"/>
        </w:rPr>
        <w:t>aux différents taux</w:t>
      </w:r>
      <w:r>
        <w:rPr>
          <w:rFonts w:ascii="Times New Roman" w:eastAsia="Times New Roman" w:hAnsi="Times New Roman" w:cs="Times New Roman"/>
          <w:kern w:val="0"/>
          <w:lang w:eastAsia="fr-FR"/>
          <w14:ligatures w14:val="none"/>
        </w:rPr>
        <w:t xml:space="preserve"> </w:t>
      </w:r>
    </w:p>
    <w:p w14:paraId="31B5CAC7" w14:textId="31BFE28E" w:rsidR="00D9584F" w:rsidRPr="00D9584F" w:rsidRDefault="00D9584F" w:rsidP="00D9584F">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584F">
        <w:rPr>
          <w:rFonts w:ascii="Times New Roman" w:eastAsia="Times New Roman" w:hAnsi="Times New Roman" w:cs="Times New Roman"/>
          <w:kern w:val="0"/>
          <w:lang w:eastAsia="fr-FR"/>
          <w14:ligatures w14:val="none"/>
        </w:rPr>
        <w:t xml:space="preserve">On remarque que les deux variables varient de la même façon selon le premier facteur retenu par l’ACP et suivent une droite. Toutefois, pour </w:t>
      </w:r>
      <w:r w:rsidR="00707216" w:rsidRPr="00D9584F">
        <w:rPr>
          <w:rFonts w:ascii="Times New Roman" w:eastAsia="Times New Roman" w:hAnsi="Times New Roman" w:cs="Times New Roman"/>
          <w:kern w:val="0"/>
          <w:lang w:eastAsia="fr-FR"/>
          <w14:ligatures w14:val="none"/>
        </w:rPr>
        <w:t xml:space="preserve">les </w:t>
      </w:r>
      <w:r w:rsidR="00707216">
        <w:rPr>
          <w:rFonts w:ascii="Times New Roman" w:eastAsia="Times New Roman" w:hAnsi="Times New Roman" w:cs="Times New Roman"/>
          <w:kern w:val="0"/>
          <w:lang w:eastAsia="fr-FR"/>
          <w14:ligatures w14:val="none"/>
        </w:rPr>
        <w:t>taux</w:t>
      </w:r>
      <w:r w:rsidR="00707216" w:rsidRPr="00D9584F">
        <w:rPr>
          <w:rFonts w:ascii="Times New Roman" w:eastAsia="Times New Roman" w:hAnsi="Times New Roman" w:cs="Times New Roman"/>
          <w:kern w:val="0"/>
          <w:lang w:eastAsia="fr-FR"/>
          <w14:ligatures w14:val="none"/>
        </w:rPr>
        <w:t xml:space="preserve"> indiqués</w:t>
      </w:r>
      <w:r>
        <w:rPr>
          <w:rFonts w:ascii="Times New Roman" w:eastAsia="Times New Roman" w:hAnsi="Times New Roman" w:cs="Times New Roman"/>
          <w:kern w:val="0"/>
          <w:lang w:eastAsia="fr-FR"/>
          <w14:ligatures w14:val="none"/>
        </w:rPr>
        <w:t xml:space="preserve"> en </w:t>
      </w:r>
      <w:r w:rsidRPr="00D9584F">
        <w:rPr>
          <w:rFonts w:ascii="Times New Roman" w:eastAsia="Times New Roman" w:hAnsi="Times New Roman" w:cs="Times New Roman"/>
          <w:kern w:val="0"/>
          <w:lang w:eastAsia="fr-FR"/>
          <w14:ligatures w14:val="none"/>
        </w:rPr>
        <w:t>rouge et noir, on voit qu'</w:t>
      </w:r>
      <w:r>
        <w:rPr>
          <w:rFonts w:ascii="Times New Roman" w:eastAsia="Times New Roman" w:hAnsi="Times New Roman" w:cs="Times New Roman"/>
          <w:kern w:val="0"/>
          <w:lang w:eastAsia="fr-FR"/>
          <w14:ligatures w14:val="none"/>
        </w:rPr>
        <w:t xml:space="preserve">ils sont plus </w:t>
      </w:r>
      <w:r w:rsidR="00707216">
        <w:rPr>
          <w:rFonts w:ascii="Times New Roman" w:eastAsia="Times New Roman" w:hAnsi="Times New Roman" w:cs="Times New Roman"/>
          <w:kern w:val="0"/>
          <w:lang w:eastAsia="fr-FR"/>
          <w14:ligatures w14:val="none"/>
        </w:rPr>
        <w:t>repartis</w:t>
      </w:r>
      <w:r>
        <w:rPr>
          <w:rFonts w:ascii="Times New Roman" w:eastAsia="Times New Roman" w:hAnsi="Times New Roman" w:cs="Times New Roman"/>
          <w:kern w:val="0"/>
          <w:lang w:eastAsia="fr-FR"/>
          <w14:ligatures w14:val="none"/>
        </w:rPr>
        <w:t xml:space="preserve"> vers </w:t>
      </w:r>
      <w:r w:rsidR="00707216">
        <w:rPr>
          <w:rFonts w:ascii="Times New Roman" w:eastAsia="Times New Roman" w:hAnsi="Times New Roman" w:cs="Times New Roman"/>
          <w:kern w:val="0"/>
          <w:lang w:eastAsia="fr-FR"/>
          <w14:ligatures w14:val="none"/>
        </w:rPr>
        <w:t>la partie</w:t>
      </w:r>
      <w:r>
        <w:rPr>
          <w:rFonts w:ascii="Times New Roman" w:eastAsia="Times New Roman" w:hAnsi="Times New Roman" w:cs="Times New Roman"/>
          <w:kern w:val="0"/>
          <w:lang w:eastAsia="fr-FR"/>
          <w14:ligatures w14:val="none"/>
        </w:rPr>
        <w:t xml:space="preserve"> en dessus de la droite d’équation y=-x+3,5 en orange </w:t>
      </w:r>
      <w:r w:rsidRPr="00D9584F">
        <w:rPr>
          <w:rFonts w:ascii="Times New Roman" w:eastAsia="Times New Roman" w:hAnsi="Times New Roman" w:cs="Times New Roman"/>
          <w:kern w:val="0"/>
          <w:lang w:eastAsia="fr-FR"/>
          <w14:ligatures w14:val="none"/>
        </w:rPr>
        <w:t xml:space="preserve">, ce qui permet d'obtenir une séparation linéaire </w:t>
      </w:r>
      <w:r>
        <w:rPr>
          <w:rFonts w:ascii="Times New Roman" w:eastAsia="Times New Roman" w:hAnsi="Times New Roman" w:cs="Times New Roman"/>
          <w:kern w:val="0"/>
          <w:lang w:eastAsia="fr-FR"/>
          <w14:ligatures w14:val="none"/>
        </w:rPr>
        <w:t xml:space="preserve">entre les 3 taux </w:t>
      </w:r>
      <w:r w:rsidRPr="00D9584F">
        <w:rPr>
          <w:rFonts w:ascii="Times New Roman" w:eastAsia="Times New Roman" w:hAnsi="Times New Roman" w:cs="Times New Roman"/>
          <w:kern w:val="0"/>
          <w:lang w:eastAsia="fr-FR"/>
          <w14:ligatures w14:val="none"/>
        </w:rPr>
        <w:t>.</w:t>
      </w:r>
    </w:p>
    <w:p w14:paraId="263112DB" w14:textId="77777777" w:rsidR="00D9584F" w:rsidRPr="00D9584F" w:rsidRDefault="00D9584F" w:rsidP="00D9584F">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D9584F">
        <w:rPr>
          <w:rFonts w:ascii="Times New Roman" w:eastAsia="Times New Roman" w:hAnsi="Times New Roman" w:cs="Times New Roman"/>
          <w:b/>
          <w:bCs/>
          <w:kern w:val="0"/>
          <w:sz w:val="27"/>
          <w:szCs w:val="27"/>
          <w:lang w:eastAsia="fr-FR"/>
          <w14:ligatures w14:val="none"/>
        </w:rPr>
        <w:t>Conclusion</w:t>
      </w:r>
    </w:p>
    <w:p w14:paraId="43AD17E0" w14:textId="28F2916D" w:rsidR="00D9584F" w:rsidRPr="00D9584F" w:rsidRDefault="00D9584F" w:rsidP="00D9584F">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584F">
        <w:rPr>
          <w:rFonts w:ascii="Times New Roman" w:eastAsia="Times New Roman" w:hAnsi="Times New Roman" w:cs="Times New Roman"/>
          <w:kern w:val="0"/>
          <w:lang w:eastAsia="fr-FR"/>
          <w14:ligatures w14:val="none"/>
        </w:rPr>
        <w:t xml:space="preserve">D’après le nuage de points, les transactions avant et après la hausse des taux montrent un chevauchement </w:t>
      </w:r>
      <w:r w:rsidR="00707216" w:rsidRPr="00D9584F">
        <w:rPr>
          <w:rFonts w:ascii="Times New Roman" w:eastAsia="Times New Roman" w:hAnsi="Times New Roman" w:cs="Times New Roman"/>
          <w:kern w:val="0"/>
          <w:lang w:eastAsia="fr-FR"/>
          <w14:ligatures w14:val="none"/>
        </w:rPr>
        <w:t>partiel</w:t>
      </w:r>
      <w:r w:rsidR="00707216">
        <w:rPr>
          <w:rFonts w:ascii="Times New Roman" w:eastAsia="Times New Roman" w:hAnsi="Times New Roman" w:cs="Times New Roman"/>
          <w:kern w:val="0"/>
          <w:lang w:eastAsia="fr-FR"/>
          <w14:ligatures w14:val="none"/>
        </w:rPr>
        <w:t>, il</w:t>
      </w:r>
      <w:r>
        <w:rPr>
          <w:rFonts w:ascii="Times New Roman" w:eastAsia="Times New Roman" w:hAnsi="Times New Roman" w:cs="Times New Roman"/>
          <w:kern w:val="0"/>
          <w:lang w:eastAsia="fr-FR"/>
          <w14:ligatures w14:val="none"/>
        </w:rPr>
        <w:t xml:space="preserve"> </w:t>
      </w:r>
      <w:r w:rsidR="00707216">
        <w:rPr>
          <w:rFonts w:ascii="Times New Roman" w:eastAsia="Times New Roman" w:hAnsi="Times New Roman" w:cs="Times New Roman"/>
          <w:kern w:val="0"/>
          <w:lang w:eastAsia="fr-FR"/>
          <w14:ligatures w14:val="none"/>
        </w:rPr>
        <w:t xml:space="preserve">est </w:t>
      </w:r>
      <w:r w:rsidR="00707216" w:rsidRPr="00D9584F">
        <w:rPr>
          <w:rFonts w:ascii="Times New Roman" w:eastAsia="Times New Roman" w:hAnsi="Times New Roman" w:cs="Times New Roman"/>
          <w:kern w:val="0"/>
          <w:lang w:eastAsia="fr-FR"/>
          <w14:ligatures w14:val="none"/>
        </w:rPr>
        <w:t>possible</w:t>
      </w:r>
      <w:r w:rsidRPr="00D9584F">
        <w:rPr>
          <w:rFonts w:ascii="Times New Roman" w:eastAsia="Times New Roman" w:hAnsi="Times New Roman" w:cs="Times New Roman"/>
          <w:kern w:val="0"/>
          <w:lang w:eastAsia="fr-FR"/>
          <w14:ligatures w14:val="none"/>
        </w:rPr>
        <w:t xml:space="preserve"> de séparer les 3 types d</w:t>
      </w:r>
      <w:r>
        <w:rPr>
          <w:rFonts w:ascii="Times New Roman" w:eastAsia="Times New Roman" w:hAnsi="Times New Roman" w:cs="Times New Roman"/>
          <w:kern w:val="0"/>
          <w:lang w:eastAsia="fr-FR"/>
          <w14:ligatures w14:val="none"/>
        </w:rPr>
        <w:t xml:space="preserve">es taux en une </w:t>
      </w:r>
      <w:r w:rsidR="00707216">
        <w:rPr>
          <w:rFonts w:ascii="Times New Roman" w:eastAsia="Times New Roman" w:hAnsi="Times New Roman" w:cs="Times New Roman"/>
          <w:kern w:val="0"/>
          <w:lang w:eastAsia="fr-FR"/>
          <w14:ligatures w14:val="none"/>
        </w:rPr>
        <w:t>séparation</w:t>
      </w:r>
      <w:r>
        <w:rPr>
          <w:rFonts w:ascii="Times New Roman" w:eastAsia="Times New Roman" w:hAnsi="Times New Roman" w:cs="Times New Roman"/>
          <w:kern w:val="0"/>
          <w:lang w:eastAsia="fr-FR"/>
          <w14:ligatures w14:val="none"/>
        </w:rPr>
        <w:t xml:space="preserve"> </w:t>
      </w:r>
      <w:r w:rsidR="00707216">
        <w:rPr>
          <w:rFonts w:ascii="Times New Roman" w:eastAsia="Times New Roman" w:hAnsi="Times New Roman" w:cs="Times New Roman"/>
          <w:kern w:val="0"/>
          <w:lang w:eastAsia="fr-FR"/>
          <w14:ligatures w14:val="none"/>
        </w:rPr>
        <w:t>linéaire</w:t>
      </w:r>
      <w:r>
        <w:rPr>
          <w:rFonts w:ascii="Times New Roman" w:eastAsia="Times New Roman" w:hAnsi="Times New Roman" w:cs="Times New Roman"/>
          <w:kern w:val="0"/>
          <w:lang w:eastAsia="fr-FR"/>
          <w14:ligatures w14:val="none"/>
        </w:rPr>
        <w:t xml:space="preserve"> , </w:t>
      </w:r>
      <w:r w:rsidRPr="00D9584F">
        <w:rPr>
          <w:rFonts w:ascii="Times New Roman" w:eastAsia="Times New Roman" w:hAnsi="Times New Roman" w:cs="Times New Roman"/>
          <w:kern w:val="0"/>
          <w:lang w:eastAsia="fr-FR"/>
          <w14:ligatures w14:val="none"/>
        </w:rPr>
        <w:t xml:space="preserve"> </w:t>
      </w:r>
      <w:r>
        <w:rPr>
          <w:rFonts w:ascii="Times New Roman" w:eastAsia="Times New Roman" w:hAnsi="Times New Roman" w:cs="Times New Roman"/>
          <w:kern w:val="0"/>
          <w:lang w:eastAsia="fr-FR"/>
          <w14:ligatures w14:val="none"/>
        </w:rPr>
        <w:t>les points ont</w:t>
      </w:r>
      <w:r w:rsidRPr="00D9584F">
        <w:rPr>
          <w:rFonts w:ascii="Times New Roman" w:eastAsia="Times New Roman" w:hAnsi="Times New Roman" w:cs="Times New Roman"/>
          <w:kern w:val="0"/>
          <w:lang w:eastAsia="fr-FR"/>
          <w14:ligatures w14:val="none"/>
        </w:rPr>
        <w:t xml:space="preserve"> tendance à se séparer après le point</w:t>
      </w:r>
      <w:r w:rsidR="00707216">
        <w:rPr>
          <w:rFonts w:ascii="Times New Roman" w:eastAsia="Times New Roman" w:hAnsi="Times New Roman" w:cs="Times New Roman"/>
          <w:kern w:val="0"/>
          <w:lang w:eastAsia="fr-FR"/>
          <w14:ligatures w14:val="none"/>
        </w:rPr>
        <w:t xml:space="preserve"> de cordonnes</w:t>
      </w:r>
      <w:r w:rsidRPr="00D9584F">
        <w:rPr>
          <w:rFonts w:ascii="Times New Roman" w:eastAsia="Times New Roman" w:hAnsi="Times New Roman" w:cs="Times New Roman"/>
          <w:kern w:val="0"/>
          <w:lang w:eastAsia="fr-FR"/>
          <w14:ligatures w14:val="none"/>
        </w:rPr>
        <w:t xml:space="preserve"> (</w:t>
      </w:r>
      <w:r w:rsidR="00707216">
        <w:rPr>
          <w:rFonts w:ascii="Times New Roman" w:eastAsia="Times New Roman" w:hAnsi="Times New Roman" w:cs="Times New Roman"/>
          <w:kern w:val="0"/>
          <w:lang w:eastAsia="fr-FR"/>
          <w14:ligatures w14:val="none"/>
        </w:rPr>
        <w:t>1,7 ; 1,8</w:t>
      </w:r>
      <w:r w:rsidRPr="00D9584F">
        <w:rPr>
          <w:rFonts w:ascii="Times New Roman" w:eastAsia="Times New Roman" w:hAnsi="Times New Roman" w:cs="Times New Roman"/>
          <w:kern w:val="0"/>
          <w:lang w:eastAsia="fr-FR"/>
          <w14:ligatures w14:val="none"/>
        </w:rPr>
        <w:t xml:space="preserve">). Cela suggère un changement, mais pas aussi prononcé. On peut conclure que la hausse des taux d’intérêt sur les transactions immobilières </w:t>
      </w:r>
      <w:proofErr w:type="gramStart"/>
      <w:r w:rsidRPr="00D9584F">
        <w:rPr>
          <w:rFonts w:ascii="Times New Roman" w:eastAsia="Times New Roman" w:hAnsi="Times New Roman" w:cs="Times New Roman"/>
          <w:kern w:val="0"/>
          <w:lang w:eastAsia="fr-FR"/>
          <w14:ligatures w14:val="none"/>
        </w:rPr>
        <w:t>a</w:t>
      </w:r>
      <w:proofErr w:type="gramEnd"/>
      <w:r w:rsidRPr="00D9584F">
        <w:rPr>
          <w:rFonts w:ascii="Times New Roman" w:eastAsia="Times New Roman" w:hAnsi="Times New Roman" w:cs="Times New Roman"/>
          <w:kern w:val="0"/>
          <w:lang w:eastAsia="fr-FR"/>
          <w14:ligatures w14:val="none"/>
        </w:rPr>
        <w:t xml:space="preserve"> un impact, mais qui reste modéré. D’autres facteurs que la taille </w:t>
      </w:r>
      <w:r w:rsidR="00707216" w:rsidRPr="00D9584F">
        <w:rPr>
          <w:rFonts w:ascii="Times New Roman" w:eastAsia="Times New Roman" w:hAnsi="Times New Roman" w:cs="Times New Roman"/>
          <w:kern w:val="0"/>
          <w:lang w:eastAsia="fr-FR"/>
          <w14:ligatures w14:val="none"/>
        </w:rPr>
        <w:t>pourrai</w:t>
      </w:r>
      <w:r w:rsidR="00707216">
        <w:rPr>
          <w:rFonts w:ascii="Times New Roman" w:eastAsia="Times New Roman" w:hAnsi="Times New Roman" w:cs="Times New Roman"/>
          <w:kern w:val="0"/>
          <w:lang w:eastAsia="fr-FR"/>
          <w14:ligatures w14:val="none"/>
        </w:rPr>
        <w:t>t</w:t>
      </w:r>
      <w:r w:rsidRPr="00D9584F">
        <w:rPr>
          <w:rFonts w:ascii="Times New Roman" w:eastAsia="Times New Roman" w:hAnsi="Times New Roman" w:cs="Times New Roman"/>
          <w:kern w:val="0"/>
          <w:lang w:eastAsia="fr-FR"/>
          <w14:ligatures w14:val="none"/>
        </w:rPr>
        <w:t xml:space="preserve"> jouer un rôle.</w:t>
      </w:r>
    </w:p>
    <w:p w14:paraId="75FACF09" w14:textId="6418858D" w:rsidR="00D9584F" w:rsidRPr="00D9584F" w:rsidRDefault="00D9584F" w:rsidP="00D9584F">
      <w:pPr>
        <w:spacing w:before="100" w:beforeAutospacing="1" w:after="100" w:afterAutospacing="1" w:line="240" w:lineRule="auto"/>
        <w:rPr>
          <w:rFonts w:ascii="Times New Roman" w:eastAsia="Times New Roman" w:hAnsi="Times New Roman" w:cs="Times New Roman"/>
          <w:kern w:val="0"/>
          <w:lang w:eastAsia="fr-FR"/>
          <w14:ligatures w14:val="none"/>
        </w:rPr>
      </w:pPr>
      <w:r w:rsidRPr="00D9584F">
        <w:rPr>
          <w:rFonts w:ascii="Times New Roman" w:eastAsia="Times New Roman" w:hAnsi="Times New Roman" w:cs="Times New Roman"/>
          <w:kern w:val="0"/>
          <w:lang w:eastAsia="fr-FR"/>
          <w14:ligatures w14:val="none"/>
        </w:rPr>
        <w:t>En analysant les composantes principales, on observe que les transactions immobilières ne montrent pas une variation significative en termes de taille de logement en fonction de la hausse des taux des prêts immobiliers depuis 2022.</w:t>
      </w:r>
    </w:p>
    <w:p w14:paraId="26439E28" w14:textId="77777777" w:rsidR="00D9584F" w:rsidRDefault="00D9584F"/>
    <w:sectPr w:rsidR="00D9584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84F"/>
    <w:rsid w:val="00707216"/>
    <w:rsid w:val="00D9584F"/>
    <w:rsid w:val="00E762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3D83F"/>
  <w15:chartTrackingRefBased/>
  <w15:docId w15:val="{00D2D04F-3804-4657-ACE3-54ABA85BC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958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958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9584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9584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9584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9584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9584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9584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9584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9584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9584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9584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9584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9584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9584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9584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9584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9584F"/>
    <w:rPr>
      <w:rFonts w:eastAsiaTheme="majorEastAsia" w:cstheme="majorBidi"/>
      <w:color w:val="272727" w:themeColor="text1" w:themeTint="D8"/>
    </w:rPr>
  </w:style>
  <w:style w:type="paragraph" w:styleId="Titre">
    <w:name w:val="Title"/>
    <w:basedOn w:val="Normal"/>
    <w:next w:val="Normal"/>
    <w:link w:val="TitreCar"/>
    <w:uiPriority w:val="10"/>
    <w:qFormat/>
    <w:rsid w:val="00D95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9584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9584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9584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9584F"/>
    <w:pPr>
      <w:spacing w:before="160"/>
      <w:jc w:val="center"/>
    </w:pPr>
    <w:rPr>
      <w:i/>
      <w:iCs/>
      <w:color w:val="404040" w:themeColor="text1" w:themeTint="BF"/>
    </w:rPr>
  </w:style>
  <w:style w:type="character" w:customStyle="1" w:styleId="CitationCar">
    <w:name w:val="Citation Car"/>
    <w:basedOn w:val="Policepardfaut"/>
    <w:link w:val="Citation"/>
    <w:uiPriority w:val="29"/>
    <w:rsid w:val="00D9584F"/>
    <w:rPr>
      <w:i/>
      <w:iCs/>
      <w:color w:val="404040" w:themeColor="text1" w:themeTint="BF"/>
    </w:rPr>
  </w:style>
  <w:style w:type="paragraph" w:styleId="Paragraphedeliste">
    <w:name w:val="List Paragraph"/>
    <w:basedOn w:val="Normal"/>
    <w:uiPriority w:val="34"/>
    <w:qFormat/>
    <w:rsid w:val="00D9584F"/>
    <w:pPr>
      <w:ind w:left="720"/>
      <w:contextualSpacing/>
    </w:pPr>
  </w:style>
  <w:style w:type="character" w:styleId="Accentuationintense">
    <w:name w:val="Intense Emphasis"/>
    <w:basedOn w:val="Policepardfaut"/>
    <w:uiPriority w:val="21"/>
    <w:qFormat/>
    <w:rsid w:val="00D9584F"/>
    <w:rPr>
      <w:i/>
      <w:iCs/>
      <w:color w:val="0F4761" w:themeColor="accent1" w:themeShade="BF"/>
    </w:rPr>
  </w:style>
  <w:style w:type="paragraph" w:styleId="Citationintense">
    <w:name w:val="Intense Quote"/>
    <w:basedOn w:val="Normal"/>
    <w:next w:val="Normal"/>
    <w:link w:val="CitationintenseCar"/>
    <w:uiPriority w:val="30"/>
    <w:qFormat/>
    <w:rsid w:val="00D958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9584F"/>
    <w:rPr>
      <w:i/>
      <w:iCs/>
      <w:color w:val="0F4761" w:themeColor="accent1" w:themeShade="BF"/>
    </w:rPr>
  </w:style>
  <w:style w:type="character" w:styleId="Rfrenceintense">
    <w:name w:val="Intense Reference"/>
    <w:basedOn w:val="Policepardfaut"/>
    <w:uiPriority w:val="32"/>
    <w:qFormat/>
    <w:rsid w:val="00D9584F"/>
    <w:rPr>
      <w:b/>
      <w:bCs/>
      <w:smallCaps/>
      <w:color w:val="0F4761" w:themeColor="accent1" w:themeShade="BF"/>
      <w:spacing w:val="5"/>
    </w:rPr>
  </w:style>
  <w:style w:type="paragraph" w:styleId="NormalWeb">
    <w:name w:val="Normal (Web)"/>
    <w:basedOn w:val="Normal"/>
    <w:uiPriority w:val="99"/>
    <w:semiHidden/>
    <w:unhideWhenUsed/>
    <w:rsid w:val="00D9584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line-clamp-1">
    <w:name w:val="line-clamp-1"/>
    <w:basedOn w:val="Policepardfaut"/>
    <w:rsid w:val="00D958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7093160">
      <w:bodyDiv w:val="1"/>
      <w:marLeft w:val="0"/>
      <w:marRight w:val="0"/>
      <w:marTop w:val="0"/>
      <w:marBottom w:val="0"/>
      <w:divBdr>
        <w:top w:val="none" w:sz="0" w:space="0" w:color="auto"/>
        <w:left w:val="none" w:sz="0" w:space="0" w:color="auto"/>
        <w:bottom w:val="none" w:sz="0" w:space="0" w:color="auto"/>
        <w:right w:val="none" w:sz="0" w:space="0" w:color="auto"/>
      </w:divBdr>
      <w:divsChild>
        <w:div w:id="1191452777">
          <w:marLeft w:val="0"/>
          <w:marRight w:val="0"/>
          <w:marTop w:val="0"/>
          <w:marBottom w:val="0"/>
          <w:divBdr>
            <w:top w:val="none" w:sz="0" w:space="0" w:color="auto"/>
            <w:left w:val="none" w:sz="0" w:space="0" w:color="auto"/>
            <w:bottom w:val="none" w:sz="0" w:space="0" w:color="auto"/>
            <w:right w:val="none" w:sz="0" w:space="0" w:color="auto"/>
          </w:divBdr>
          <w:divsChild>
            <w:div w:id="1544243657">
              <w:marLeft w:val="0"/>
              <w:marRight w:val="0"/>
              <w:marTop w:val="0"/>
              <w:marBottom w:val="0"/>
              <w:divBdr>
                <w:top w:val="none" w:sz="0" w:space="0" w:color="auto"/>
                <w:left w:val="none" w:sz="0" w:space="0" w:color="auto"/>
                <w:bottom w:val="none" w:sz="0" w:space="0" w:color="auto"/>
                <w:right w:val="none" w:sz="0" w:space="0" w:color="auto"/>
              </w:divBdr>
              <w:divsChild>
                <w:div w:id="143008292">
                  <w:marLeft w:val="0"/>
                  <w:marRight w:val="0"/>
                  <w:marTop w:val="0"/>
                  <w:marBottom w:val="0"/>
                  <w:divBdr>
                    <w:top w:val="none" w:sz="0" w:space="0" w:color="auto"/>
                    <w:left w:val="none" w:sz="0" w:space="0" w:color="auto"/>
                    <w:bottom w:val="none" w:sz="0" w:space="0" w:color="auto"/>
                    <w:right w:val="none" w:sz="0" w:space="0" w:color="auto"/>
                  </w:divBdr>
                  <w:divsChild>
                    <w:div w:id="105678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844445">
          <w:marLeft w:val="0"/>
          <w:marRight w:val="0"/>
          <w:marTop w:val="0"/>
          <w:marBottom w:val="0"/>
          <w:divBdr>
            <w:top w:val="none" w:sz="0" w:space="0" w:color="auto"/>
            <w:left w:val="none" w:sz="0" w:space="0" w:color="auto"/>
            <w:bottom w:val="none" w:sz="0" w:space="0" w:color="auto"/>
            <w:right w:val="none" w:sz="0" w:space="0" w:color="auto"/>
          </w:divBdr>
          <w:divsChild>
            <w:div w:id="1096485233">
              <w:marLeft w:val="0"/>
              <w:marRight w:val="0"/>
              <w:marTop w:val="0"/>
              <w:marBottom w:val="0"/>
              <w:divBdr>
                <w:top w:val="none" w:sz="0" w:space="0" w:color="auto"/>
                <w:left w:val="none" w:sz="0" w:space="0" w:color="auto"/>
                <w:bottom w:val="none" w:sz="0" w:space="0" w:color="auto"/>
                <w:right w:val="none" w:sz="0" w:space="0" w:color="auto"/>
              </w:divBdr>
              <w:divsChild>
                <w:div w:id="1490516081">
                  <w:marLeft w:val="0"/>
                  <w:marRight w:val="0"/>
                  <w:marTop w:val="0"/>
                  <w:marBottom w:val="0"/>
                  <w:divBdr>
                    <w:top w:val="none" w:sz="0" w:space="0" w:color="auto"/>
                    <w:left w:val="none" w:sz="0" w:space="0" w:color="auto"/>
                    <w:bottom w:val="none" w:sz="0" w:space="0" w:color="auto"/>
                    <w:right w:val="none" w:sz="0" w:space="0" w:color="auto"/>
                  </w:divBdr>
                  <w:divsChild>
                    <w:div w:id="189215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319</Words>
  <Characters>1759</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DAHMOUN</dc:creator>
  <cp:keywords/>
  <dc:description/>
  <cp:lastModifiedBy>Sarah DAHMOUN</cp:lastModifiedBy>
  <cp:revision>1</cp:revision>
  <dcterms:created xsi:type="dcterms:W3CDTF">2024-06-12T16:51:00Z</dcterms:created>
  <dcterms:modified xsi:type="dcterms:W3CDTF">2024-06-12T17:05:00Z</dcterms:modified>
</cp:coreProperties>
</file>