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20"/>
        <w:jc w:val="left"/>
      </w:pPr>
      <w:r>
        <w:t>AI 内容收益实验室</w:t>
      </w:r>
    </w:p>
    <w:p>
      <w:pPr>
        <w:spacing w:before="160"/>
      </w:pPr>
      <w:r>
        <w:rPr>
          <w:rFonts w:ascii="Hiragino Sans GB" w:hAnsi="Hiragino Sans GB" w:eastAsia="Hiragino Sans GB"/>
          <w:b/>
          <w:color w:val="17365D"/>
          <w:sz w:val="36"/>
        </w:rPr>
        <w:t>董事会决策报告</w:t>
      </w:r>
    </w:p>
    <w:p>
      <w:pPr>
        <w:spacing w:before="640" w:line="336" w:lineRule="auto"/>
      </w:pPr>
      <w:r>
        <w:rPr>
          <w:rFonts w:ascii="Hiragino Sans GB" w:hAnsi="Hiragino Sans GB" w:eastAsia="Hiragino Sans GB"/>
          <w:sz w:val="24"/>
        </w:rPr>
        <w:t>提请决策：是否批准 6 周封闭验证，并以法律可行性与真实单位经济决定是否形成新业务线</w:t>
      </w:r>
    </w:p>
    <w:p>
      <w:pPr>
        <w:spacing w:before="560" w:line="408" w:lineRule="auto"/>
      </w:pPr>
      <w:r>
        <w:rPr>
          <w:rFonts w:ascii="Hiragino Sans GB" w:hAnsi="Hiragino Sans GB" w:eastAsia="Hiragino Sans GB"/>
          <w:b w:val="0"/>
          <w:sz w:val="23"/>
        </w:rPr>
        <w:t>密级　内部决策材料</w:t>
        <w:br/>
      </w:r>
      <w:r>
        <w:rPr>
          <w:rFonts w:ascii="Hiragino Sans GB" w:hAnsi="Hiragino Sans GB" w:eastAsia="Hiragino Sans GB"/>
          <w:b w:val="0"/>
          <w:sz w:val="23"/>
        </w:rPr>
        <w:t>提交日期　2026 年 9 月 13 日</w:t>
        <w:br/>
      </w:r>
      <w:r>
        <w:rPr>
          <w:rFonts w:ascii="Hiragino Sans GB" w:hAnsi="Hiragino Sans GB" w:eastAsia="Hiragino Sans GB"/>
          <w:b w:val="0"/>
          <w:sz w:val="23"/>
        </w:rPr>
        <w:t>主责　林知夏 · 目标规划官（Product Manager）</w:t>
        <w:br/>
      </w:r>
      <w:r>
        <w:rPr>
          <w:rFonts w:ascii="Hiragino Sans GB" w:hAnsi="Hiragino Sans GB" w:eastAsia="Hiragino Sans GB"/>
          <w:b/>
          <w:sz w:val="23"/>
        </w:rPr>
        <w:t>建议　有条件通过</w:t>
        <w:br/>
      </w:r>
    </w:p>
    <w:p>
      <w:pPr>
        <w:spacing w:before="680"/>
      </w:pPr>
      <w:r>
        <w:rPr>
          <w:rFonts w:ascii="Hiragino Sans GB" w:hAnsi="Hiragino Sans GB" w:eastAsia="Hiragino Sans GB"/>
          <w:b/>
          <w:color w:val="17365D"/>
          <w:sz w:val="20"/>
        </w:rPr>
        <w:t>核心判断</w:t>
      </w:r>
    </w:p>
    <w:p>
      <w:pPr>
        <w:spacing w:line="348" w:lineRule="auto" w:after="240"/>
      </w:pPr>
      <w:r>
        <w:rPr>
          <w:rFonts w:ascii="Hiragino Sans GB" w:hAnsi="Hiragino Sans GB" w:eastAsia="Hiragino Sans GB"/>
          <w:sz w:val="24"/>
        </w:rPr>
        <w:t>市场不缺生成和群发工具。公司应验证的是一条可审计的收益闭环：什么内容，在什么平台，以什么成本，经过什么审核，最终产生多少可结算收入。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一、执行摘要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管理层建议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 xml:space="preserve">建议董事会作出 </w:t>
      </w:r>
      <w:r>
        <w:rPr>
          <w:rFonts w:ascii="Hiragino Sans GB" w:hAnsi="Hiragino Sans GB" w:eastAsia="Hiragino Sans GB"/>
          <w:b/>
          <w:sz w:val="21"/>
        </w:rPr>
        <w:t>“有条件通过（Conditional GO）”</w:t>
      </w:r>
      <w:r>
        <w:rPr>
          <w:rFonts w:ascii="Hiragino Sans GB" w:hAnsi="Hiragino Sans GB" w:eastAsia="Hiragino Sans GB"/>
          <w:sz w:val="21"/>
        </w:rPr>
        <w:t xml:space="preserve"> 决议：批准总额度不超过 </w:t>
      </w:r>
      <w:r>
        <w:rPr>
          <w:rFonts w:ascii="Hiragino Sans GB" w:hAnsi="Hiragino Sans GB" w:eastAsia="Hiragino Sans GB"/>
          <w:b/>
          <w:sz w:val="21"/>
        </w:rPr>
        <w:t>人民币 165,000 元</w:t>
      </w:r>
      <w:r>
        <w:rPr>
          <w:rFonts w:ascii="Hiragino Sans GB" w:hAnsi="Hiragino Sans GB" w:eastAsia="Hiragino Sans GB"/>
          <w:sz w:val="21"/>
        </w:rPr>
        <w:t>的两阶段创业资金安排。其中第一阶段立即释放 15,000 元，用于 6 周封闭验证；第二阶段 150,000 元仅在法律和商业闸门全部通过后释放，用于 3 个月产品化及 3 家付费设计客户验证。暂不批准公开 SaaS、规模化账号投入或“全自动被动收益”宣传。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本项目不应被定义为又一个“AI 写作 + 一键群发”工具。该赛道已有蚁小二、快工场、第六帧、超级编导、SupaWriter、新榜矩阵通、易媒助手等产品，基础生成和分发功能同质化，公开价格已低至每月数十元。直接复制将进入低价竞争，同时承担平台接口频繁变化、账号安全和内容违规的高维护成本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建议的新业务定义是：</w:t>
      </w:r>
    </w:p>
    <w:p>
      <w:pPr>
        <w:spacing w:before="120" w:after="160"/>
        <w:ind w:left="397" w:right="227"/>
      </w:pPr>
      <w:r>
        <w:rPr>
          <w:rFonts w:ascii="Hiragino Sans GB" w:hAnsi="Hiragino Sans GB" w:eastAsia="Hiragino Sans GB"/>
          <w:b/>
          <w:color w:val="17365D"/>
          <w:sz w:val="23"/>
        </w:rPr>
        <w:t>AI 内容收益实验室</w:t>
      </w:r>
      <w:r>
        <w:rPr>
          <w:rFonts w:ascii="Hiragino Sans GB" w:hAnsi="Hiragino Sans GB" w:eastAsia="Hiragino Sans GB"/>
          <w:color w:val="17365D"/>
          <w:sz w:val="23"/>
        </w:rPr>
        <w:t>——把选题证据、内容生成、事实与版权检查、平台化改写、AI 标识、人工审批、跨平台发布和实际收益归因连成一条可审计闭环。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真正需要验证的不是“AI 能否发文”，而是：</w:t>
      </w:r>
      <w:r>
        <w:rPr>
          <w:rFonts w:ascii="Hiragino Sans GB" w:hAnsi="Hiragino Sans GB" w:eastAsia="Hiragino Sans GB"/>
          <w:b/>
          <w:sz w:val="21"/>
        </w:rPr>
        <w:t>在不牺牲内容质量和账号安全的前提下，至少一个平台和垂类能否连续产生覆盖变动成本的真实收入。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董事会本次需决定的事项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1. 是否批准总额度不超过 </w:t>
      </w:r>
      <w:r>
        <w:rPr>
          <w:rFonts w:ascii="Hiragino Sans GB" w:hAnsi="Hiragino Sans GB" w:eastAsia="Hiragino Sans GB"/>
          <w:b/>
          <w:sz w:val="21"/>
        </w:rPr>
        <w:t>人民币 165,000 元</w:t>
      </w:r>
      <w:r>
        <w:rPr>
          <w:rFonts w:ascii="Hiragino Sans GB" w:hAnsi="Hiragino Sans GB" w:eastAsia="Hiragino Sans GB"/>
          <w:sz w:val="21"/>
        </w:rPr>
        <w:t>的分阶段创业资金，而非一次性投入；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2. 是否立即释放第一阶段 </w:t>
      </w:r>
      <w:r>
        <w:rPr>
          <w:rFonts w:ascii="Hiragino Sans GB" w:hAnsi="Hiragino Sans GB" w:eastAsia="Hiragino Sans GB"/>
          <w:b/>
          <w:sz w:val="21"/>
        </w:rPr>
        <w:t>15,000 元</w:t>
      </w:r>
      <w:r>
        <w:rPr>
          <w:rFonts w:ascii="Hiragino Sans GB" w:hAnsi="Hiragino Sans GB" w:eastAsia="Hiragino Sans GB"/>
          <w:sz w:val="21"/>
        </w:rPr>
        <w:t>，用于模型、素材、工具订阅、法律咨询和 6 周验证；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3. 是否为第二阶段预留 </w:t>
      </w:r>
      <w:r>
        <w:rPr>
          <w:rFonts w:ascii="Hiragino Sans GB" w:hAnsi="Hiragino Sans GB" w:eastAsia="Hiragino Sans GB"/>
          <w:b/>
          <w:sz w:val="21"/>
        </w:rPr>
        <w:t>150,000 元</w:t>
      </w:r>
      <w:r>
        <w:rPr>
          <w:rFonts w:ascii="Hiragino Sans GB" w:hAnsi="Hiragino Sans GB" w:eastAsia="Hiragino Sans GB"/>
          <w:sz w:val="21"/>
        </w:rPr>
        <w:t>，但仅在第一阶段七项门槛全部通过、且外部服务法律路径明确后释放；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4. 是否同意第一阶段只使用 3–5 个公司可控测试账号，不购买账号、不刷量、不做批量铺稿；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5. 是否同意第二阶段先验证 3 家付费设计客户，而不是立即开发公开 SaaS。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为什么董事会值得给这笔钱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这不是请董事会押注“某个平台会给多少流量”，而是购买一项</w:t>
      </w:r>
      <w:r>
        <w:rPr>
          <w:rFonts w:ascii="Hiragino Sans GB" w:hAnsi="Hiragino Sans GB" w:eastAsia="Hiragino Sans GB"/>
          <w:b/>
          <w:sz w:val="21"/>
        </w:rPr>
        <w:t>损失封顶、证据递增、可以随时停止的创业期权</w:t>
      </w:r>
      <w:r>
        <w:rPr>
          <w:rFonts w:ascii="Hiragino Sans GB" w:hAnsi="Hiragino Sans GB" w:eastAsia="Hiragino Sans GB"/>
          <w:sz w:val="21"/>
        </w:rPr>
        <w:t>：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最坏情况：6 周内花费不超过 15,000 元，证明收益或合规路径不成立，及时停止；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中性情况：未形成独立业务，但获得平台资格、内容成本、真实收益和合规边界数据，反哺公司现有内容业务；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最好情况：证明一个可复制垂类，随后用第二阶段资金取得 3 家真实付费客户，再决定是否扩大。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项目的资本效率来自三个选择：不训练底层模型、不自研全部发布连接器、不在收益验证前扩团队。资金主要购买证据，而不是购买产量。</w:t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二、为什么现在值得验证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1. 需求侧成立，但不等于我们的市场规模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截至 2025 年 12 月，中国网络视听用户规模为 10.99 亿；2025 年网络视听行业市场规模约 1.2877 万亿元，同比增长 5.3%。短视频是主要互联网应用中唯一用户规模与使用率同时增长、且使用率超过 80% 的类别。</w:t>
      </w:r>
      <w:hyperlink r:id="rId10">
        <w:r>
          <w:rPr>
            <w:rFonts w:ascii="Hiragino Sans GB" w:hAnsi="Hiragino Sans GB" w:eastAsia="Hiragino Sans GB"/>
            <w:color w:val="17365D"/>
            <w:u w:val="single"/>
          </w:rPr>
          <w:t>CNNIC</w:t>
        </w:r>
      </w:hyperlink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同期，中国生成式 AI 用户规模达到 6.02 亿，说明 AI 已成为大众化生产工具。</w:t>
      </w:r>
      <w:hyperlink r:id="rId11">
        <w:r>
          <w:rPr>
            <w:rFonts w:ascii="Hiragino Sans GB" w:hAnsi="Hiragino Sans GB" w:eastAsia="Hiragino Sans GB"/>
            <w:color w:val="17365D"/>
            <w:u w:val="single"/>
          </w:rPr>
          <w:t>CNNIC 第57次报告</w:t>
        </w:r>
      </w:hyperlink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以上数据只能证明“内容消费巨大、AI 供给快速普及”，</w:t>
      </w:r>
      <w:r>
        <w:rPr>
          <w:rFonts w:ascii="Hiragino Sans GB" w:hAnsi="Hiragino Sans GB" w:eastAsia="Hiragino Sans GB"/>
          <w:b/>
          <w:sz w:val="21"/>
        </w:rPr>
        <w:t>不能直接作为本项目 TAM 或收入预测</w:t>
      </w:r>
      <w:r>
        <w:rPr>
          <w:rFonts w:ascii="Hiragino Sans GB" w:hAnsi="Hiragino Sans GB" w:eastAsia="Hiragino Sans GB"/>
          <w:sz w:val="21"/>
        </w:rPr>
        <w:t>。我们的可服务市场仍为 unknown，必须通过客户访谈、付费意向和真实账号收益实验自下而上计算。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2. 监管把“可追溯”变成刚需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《人工智能生成合成内容标识办法》自 2025 年 9 月 1 日起施行，要求生成合成内容具有显式和隐式标识，用户发布时应主动声明，不得删除、篡改、伪造或隐匿标识。</w:t>
      </w:r>
      <w:hyperlink r:id="rId12">
        <w:r>
          <w:rPr>
            <w:rFonts w:ascii="Hiragino Sans GB" w:hAnsi="Hiragino Sans GB" w:eastAsia="Hiragino Sans GB"/>
            <w:color w:val="17365D"/>
            <w:u w:val="single"/>
          </w:rPr>
          <w:t>国家互联网信息办公室</w:t>
        </w:r>
      </w:hyperlink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这使“生成了多少篇”价值下降，使“内容从何而来、是否标识、谁批准、发到哪里、出了问题能否追溯”价值上升。合规与审计不是附加模块，而应成为产品骨架。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3. 流量收益存在，但门槛与质量约束明显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微博创作者广告共享计划按照内容质量、阅读量、粉丝互动、视频播放贡献和观看时长等综合计算；个人入驻存在月阅读量等门槛，平台已明确限制同质化、低质和无意义内容分成。</w:t>
      </w:r>
      <w:hyperlink r:id="rId13">
        <w:r>
          <w:rPr>
            <w:rFonts w:ascii="Hiragino Sans GB" w:hAnsi="Hiragino Sans GB" w:eastAsia="Hiragino Sans GB"/>
            <w:color w:val="17365D"/>
            <w:u w:val="single"/>
          </w:rPr>
          <w:t>微博客服</w:t>
        </w:r>
      </w:hyperlink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知乎致知计划要求原创、垂直、有信息价值，并明确排除 AI 创作及 AI 辅助创作内容。</w:t>
      </w:r>
      <w:hyperlink r:id="rId14">
        <w:r>
          <w:rPr>
            <w:rFonts w:ascii="Hiragino Sans GB" w:hAnsi="Hiragino Sans GB" w:eastAsia="Hiragino Sans GB"/>
            <w:color w:val="17365D"/>
            <w:u w:val="single"/>
          </w:rPr>
          <w:t>知乎致知计划规则</w:t>
        </w:r>
      </w:hyperlink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其他平台的广告分成、创作激励和任务也都依赖账号资格、内容质量、有效流量或邀请机制。点赞本身通常不直接计价，普通播放也不会自动产生收入。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结论：这不是“发得越多赚得越多”的机械套利，而是一个受平台资格、内容质量和政策变化共同约束的运营业务。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三、竞争格局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1. 竞品分为四类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代表产品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典型能力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当前竞争强度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分发工具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蚁小二、闲人新媒体管家、易媒助手、96智推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多账号、定时/批量发布、数据汇总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高；平台多、价格低、成熟度高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AI 内容工厂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快工场、第六帧、超级编导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脚本、图文/视频生成、批量剪辑和分发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高；“生成+发布”已是标配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中文图文工作流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SupaWriter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热点、RAG、写作、配图、格式转换、浏览器填稿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中高；对中文内容链路理解较深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企业矩阵治理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新榜矩阵通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任务、权限、数据、线索、素材和风险管理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高；企业客户关系与数据能力更强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2. 关键竞品比较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公开价格/边界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最强能力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明显边界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威胁判断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15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蚁小二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免费 5 个账号点数、每日 3 次；VIP 59 元/月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面向 AI Agent 的 CLI；校验、dry-run、发布、失败查询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免费额度是否完整覆盖 CLI/API 需账号实测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最高</w:t>
            </w:r>
            <w:r>
              <w:rPr>
                <w:rFonts w:ascii="Hiragino Sans GB" w:hAnsi="Hiragino Sans GB" w:eastAsia="Hiragino Sans GB"/>
                <w:sz w:val="17"/>
              </w:rPr>
              <w:t>：已具备我们最需要的发布基础设施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hyperlink r:id="rId16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快工场/快发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快发 49 元/月；AI 工场 49–998 元/月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本地商家、矩阵号、AI 视频、评论线索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偏重规模和获客，不以收益审计为核心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高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17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第六帧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标准版 29 元/月，高级版 59 元/月；免费生成额度有限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AI 品牌视频 + 分发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低价，进一步压缩基础工具毛利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高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hyperlink r:id="rId18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超级编导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分专业、企业、旗舰套餐，价格以页面/询价为准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企业脚本、剪辑和矩阵生产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重型视频生产，实施复杂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中高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19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SupaWriter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免费体验；稳定套餐价格未在公开页确认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中文热点、RAG、评分优化、七平台适配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浏览器扩展只填稿，不代用户点击发布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中高；其人工确认边界值得借鉴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hyperlink r:id="rId20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新榜矩阵通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企业询价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企业治理、任务、线索、数据和风控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面向成熟组织，采购较重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中高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21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闲人新媒体管家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免费 2 个账号；10/30/100 账号约 98/198/598 元/月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低成本多账号分发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AI 原生和收益分析较弱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hyperlink r:id="rId22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易媒助手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有免费用户和 7 天试用；额度以客户端为准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70+ 平台、评论/私信和数据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通用型，难以在单一业务目标上做深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23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96智推</w:t>
              </w:r>
            </w:hyperlink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免费下载；公开额度不清晰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多系统支持、本地数据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AI 工作流较弱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中低</w:t>
            </w:r>
          </w:p>
        </w:tc>
      </w:tr>
    </w:tbl>
    <w:p>
      <w:pPr>
        <w:spacing w:after="40"/>
      </w:pP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竞品价格和产品能力来自各产品官方公开页；宣传数据未做独立审计，不纳入财务预测。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3. 竞争结论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我们不具备也不需要在“支持平台数量”“最低订阅价”“批量发布量”上获胜。可防守的切入点是：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1. </w:t>
      </w:r>
      <w:r>
        <w:rPr>
          <w:rFonts w:ascii="Hiragino Sans GB" w:hAnsi="Hiragino Sans GB" w:eastAsia="Hiragino Sans GB"/>
          <w:b/>
          <w:sz w:val="21"/>
        </w:rPr>
        <w:t>来源可信</w:t>
      </w:r>
      <w:r>
        <w:rPr>
          <w:rFonts w:ascii="Hiragino Sans GB" w:hAnsi="Hiragino Sans GB" w:eastAsia="Hiragino Sans GB"/>
          <w:sz w:val="21"/>
        </w:rPr>
        <w:t>：选题与关键事实保存证据；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2. </w:t>
      </w:r>
      <w:r>
        <w:rPr>
          <w:rFonts w:ascii="Hiragino Sans GB" w:hAnsi="Hiragino Sans GB" w:eastAsia="Hiragino Sans GB"/>
          <w:b/>
          <w:sz w:val="21"/>
        </w:rPr>
        <w:t>平台原生</w:t>
      </w:r>
      <w:r>
        <w:rPr>
          <w:rFonts w:ascii="Hiragino Sans GB" w:hAnsi="Hiragino Sans GB" w:eastAsia="Hiragino Sans GB"/>
          <w:sz w:val="21"/>
        </w:rPr>
        <w:t>：同一主题形成不同平台版本，不同稿群发；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3. </w:t>
      </w:r>
      <w:r>
        <w:rPr>
          <w:rFonts w:ascii="Hiragino Sans GB" w:hAnsi="Hiragino Sans GB" w:eastAsia="Hiragino Sans GB"/>
          <w:b/>
          <w:sz w:val="21"/>
        </w:rPr>
        <w:t>全程可审计</w:t>
      </w:r>
      <w:r>
        <w:rPr>
          <w:rFonts w:ascii="Hiragino Sans GB" w:hAnsi="Hiragino Sans GB" w:eastAsia="Hiragino Sans GB"/>
          <w:sz w:val="21"/>
        </w:rPr>
        <w:t>：记录生成模型、素材权利、AI 标识、审批人和发布结果；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4. </w:t>
      </w:r>
      <w:r>
        <w:rPr>
          <w:rFonts w:ascii="Hiragino Sans GB" w:hAnsi="Hiragino Sans GB" w:eastAsia="Hiragino Sans GB"/>
          <w:b/>
          <w:sz w:val="21"/>
        </w:rPr>
        <w:t>以钱为终点</w:t>
      </w:r>
      <w:r>
        <w:rPr>
          <w:rFonts w:ascii="Hiragino Sans GB" w:hAnsi="Hiragino Sans GB" w:eastAsia="Hiragino Sans GB"/>
          <w:sz w:val="21"/>
        </w:rPr>
        <w:t>：把实际结算收入归因到平台、账号、选题和内容版本；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5. </w:t>
      </w:r>
      <w:r>
        <w:rPr>
          <w:rFonts w:ascii="Hiragino Sans GB" w:hAnsi="Hiragino Sans GB" w:eastAsia="Hiragino Sans GB"/>
          <w:b/>
          <w:sz w:val="21"/>
        </w:rPr>
        <w:t>安全自动化</w:t>
      </w:r>
      <w:r>
        <w:rPr>
          <w:rFonts w:ascii="Hiragino Sans GB" w:hAnsi="Hiragino Sans GB" w:eastAsia="Hiragino Sans GB"/>
          <w:sz w:val="21"/>
        </w:rPr>
        <w:t>：先 dry-run 和人工批准，再逐步对白名单内容放开自动发布；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6. </w:t>
      </w:r>
      <w:r>
        <w:rPr>
          <w:rFonts w:ascii="Hiragino Sans GB" w:hAnsi="Hiragino Sans GB" w:eastAsia="Hiragino Sans GB"/>
          <w:b/>
          <w:sz w:val="21"/>
        </w:rPr>
        <w:t>供应商可替换</w:t>
      </w:r>
      <w:r>
        <w:rPr>
          <w:rFonts w:ascii="Hiragino Sans GB" w:hAnsi="Hiragino Sans GB" w:eastAsia="Hiragino Sans GB"/>
          <w:sz w:val="21"/>
        </w:rPr>
        <w:t>：底层发布接入蚁小二等服务，但通过统一适配层避免锁定。</w:t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四、可模仿对象：学商业结构，不照搬功能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这些对象不都是中国直接竞品，但它们提供了更适合 1–2 人团队的产品结构。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值得模仿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不应照搬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19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SupaWriter</w:t>
              </w:r>
            </w:hyperlink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自动完成选题、写作、配图和填稿，但保留用户最终点击发布；责任边界清晰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热点规模化生产容易诱发事实、同质化与时效风险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hyperlink r:id="rId24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蚁小二 CLI</w:t>
              </w:r>
            </w:hyperlink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面向 Agent 的字段查询、校验、dry-run、发布和失败查询；可作为底层供应商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不把单一供应商接口直接写死在业务流程中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25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Buffer</w:t>
              </w:r>
            </w:hyperlink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简单可靠、按渠道扩展、审批与内容标签分析；先服务个人和小企业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海外平台 API 环境与中国平台不同，不能直接套用自动发布覆盖率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hyperlink r:id="rId26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Typefully</w:t>
              </w:r>
            </w:hyperlink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先把少数平台的创作体验做深；“确认排期”和“仅保存计划”明确分开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不追求一开始覆盖所有内容形态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27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Repurpose.io</w:t>
              </w:r>
            </w:hyperlink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用“一个来源—多个工作流”的配方降低重复劳动；Starter 明确服务独立创作者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不能把内容复用理解为原稿复制，必须平台化改写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hyperlink r:id="rId28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Metricool</w:t>
              </w:r>
            </w:hyperlink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免费层降低试用门槛，把排期、分析、竞品跟踪和 Agent/MCP 接口连在一起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不先建设庞大的通用报表系统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hyperlink r:id="rId20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新榜矩阵通</w:t>
              </w:r>
            </w:hyperlink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学习权限、任务、素材、审计和风险治理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不模仿其企业级全功能广度和销售成本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推荐的组合式模仿路径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1. 用 </w:t>
      </w:r>
      <w:r>
        <w:rPr>
          <w:rFonts w:ascii="Hiragino Sans GB" w:hAnsi="Hiragino Sans GB" w:eastAsia="Hiragino Sans GB"/>
          <w:b/>
          <w:sz w:val="21"/>
        </w:rPr>
        <w:t>蚁小二式接口层</w:t>
      </w:r>
      <w:r>
        <w:rPr>
          <w:rFonts w:ascii="Hiragino Sans GB" w:hAnsi="Hiragino Sans GB" w:eastAsia="Hiragino Sans GB"/>
          <w:sz w:val="21"/>
        </w:rPr>
        <w:t xml:space="preserve"> 解决发布，不自建平台军团；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2. 用 </w:t>
      </w:r>
      <w:r>
        <w:rPr>
          <w:rFonts w:ascii="Hiragino Sans GB" w:hAnsi="Hiragino Sans GB" w:eastAsia="Hiragino Sans GB"/>
          <w:b/>
          <w:sz w:val="21"/>
        </w:rPr>
        <w:t>SupaWriter/Typefully 式确认边界</w:t>
      </w:r>
      <w:r>
        <w:rPr>
          <w:rFonts w:ascii="Hiragino Sans GB" w:hAnsi="Hiragino Sans GB" w:eastAsia="Hiragino Sans GB"/>
          <w:sz w:val="21"/>
        </w:rPr>
        <w:t xml:space="preserve"> 保留最后批准；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3. 用 </w:t>
      </w:r>
      <w:r>
        <w:rPr>
          <w:rFonts w:ascii="Hiragino Sans GB" w:hAnsi="Hiragino Sans GB" w:eastAsia="Hiragino Sans GB"/>
          <w:b/>
          <w:sz w:val="21"/>
        </w:rPr>
        <w:t>Repurpose.io 式工作流配方</w:t>
      </w:r>
      <w:r>
        <w:rPr>
          <w:rFonts w:ascii="Hiragino Sans GB" w:hAnsi="Hiragino Sans GB" w:eastAsia="Hiragino Sans GB"/>
          <w:sz w:val="21"/>
        </w:rPr>
        <w:t xml:space="preserve"> 提升单人产能，但每个平台独立改写；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4. 用 </w:t>
      </w:r>
      <w:r>
        <w:rPr>
          <w:rFonts w:ascii="Hiragino Sans GB" w:hAnsi="Hiragino Sans GB" w:eastAsia="Hiragino Sans GB"/>
          <w:b/>
          <w:sz w:val="21"/>
        </w:rPr>
        <w:t>Metricool/Buffer 式内容标签与收益分析</w:t>
      </w:r>
      <w:r>
        <w:rPr>
          <w:rFonts w:ascii="Hiragino Sans GB" w:hAnsi="Hiragino Sans GB" w:eastAsia="Hiragino Sans GB"/>
          <w:sz w:val="21"/>
        </w:rPr>
        <w:t xml:space="preserve"> 形成决策数据；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5. 用 </w:t>
      </w:r>
      <w:r>
        <w:rPr>
          <w:rFonts w:ascii="Hiragino Sans GB" w:hAnsi="Hiragino Sans GB" w:eastAsia="Hiragino Sans GB"/>
          <w:b/>
          <w:sz w:val="21"/>
        </w:rPr>
        <w:t>新榜式审计治理</w:t>
      </w:r>
      <w:r>
        <w:rPr>
          <w:rFonts w:ascii="Hiragino Sans GB" w:hAnsi="Hiragino Sans GB" w:eastAsia="Hiragino Sans GB"/>
          <w:sz w:val="21"/>
        </w:rPr>
        <w:t xml:space="preserve"> 满足中国市场的账号和内容责任要求。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明确的反面教材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以“支持 70 个平台”为卖点，导致维护面远超小团队能力；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自动追热点、自动拼接、自动群发，不核验来源；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使用 Cookie 共享、逆向签名或模拟登录作为长期商业承诺；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用点赞、阅读或案例截图暗示稳定收益；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同一稿件批量铺设账号矩阵；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把评论、私信和舆情运营也纳入第一版，造成全天候值守负担。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五、拟议产品与商业模式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1. 产品最小闭环</w:t>
      </w:r>
    </w:p>
    <w:p>
      <w:pPr>
        <w:widowControl/>
        <w:spacing w:before="0" w:after="100" w:line="300" w:lineRule="auto"/>
      </w:pPr>
      <w:r>
        <w:rPr>
          <w:rFonts w:ascii="SFMono-Regular" w:hAnsi="SFMono-Regular" w:eastAsia="SFMono-Regular"/>
          <w:color w:val="333333"/>
          <w:sz w:val="20"/>
        </w:rPr>
        <w:t>来源与选题 → AI 草稿 → 事实/版权/敏感检查 → 平台化改写 → AI 标识 → dry-run → 人工批准 → 发布 → 数据/收入回收 → 策略复盘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第一阶段不做：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自动追热点后无审核发布；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一稿原样群发多个平台；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商品、挂车、佣金结算；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购买账号、购买流量、刷量或互动自动化；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自研覆盖几十个平台的连接器；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对外承诺 RPM、粉丝增长或被动收入。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2. 三阶段商业化路径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阶段 A：自营内容实验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公司以自有测试账号获取真实运营和收益数据，目标是证明单位经济，而非追求规模。收入来自平台实际结算。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阶段 B：结果型运营服务（法律闸门通过后）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 xml:space="preserve">选择 3 家知识型个人、小型品牌或企业内容团队作为设计合作客户，提供有人工兜底的内容运营服务。进入前必须取得中国律师对下述多渠道分发新规适用范围、经营登记和平台入驻路径的书面意见。初始报价假设可在 </w:t>
      </w:r>
      <w:r>
        <w:rPr>
          <w:rFonts w:ascii="Hiragino Sans GB" w:hAnsi="Hiragino Sans GB" w:eastAsia="Hiragino Sans GB"/>
          <w:b/>
          <w:sz w:val="21"/>
        </w:rPr>
        <w:t>3,000–8,000 元/月/客户</w:t>
      </w:r>
      <w:r>
        <w:rPr>
          <w:rFonts w:ascii="Hiragino Sans GB" w:hAnsi="Hiragino Sans GB" w:eastAsia="Hiragino Sans GB"/>
          <w:sz w:val="21"/>
        </w:rPr>
        <w:t xml:space="preserve"> 区间测试；这是定价实验，不是收入预测。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阶段 C：SaaS/API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 xml:space="preserve">当跨客户流程可复用且数据证明客户愿意为合规、审批和收益归因付费后，再测试 </w:t>
      </w:r>
      <w:r>
        <w:rPr>
          <w:rFonts w:ascii="Hiragino Sans GB" w:hAnsi="Hiragino Sans GB" w:eastAsia="Hiragino Sans GB"/>
          <w:b/>
          <w:sz w:val="21"/>
        </w:rPr>
        <w:t>99–499 元/月</w:t>
      </w:r>
      <w:r>
        <w:rPr>
          <w:rFonts w:ascii="Hiragino Sans GB" w:hAnsi="Hiragino Sans GB" w:eastAsia="Hiragino Sans GB"/>
          <w:sz w:val="21"/>
        </w:rPr>
        <w:t xml:space="preserve"> 的软件套餐和企业版询价。该价格带依据现有竞品 29–998 元/月的公开区间提出，仍需付费意向验证。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3. 自建、购买与合作边界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选题、证据、事实检查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自建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是差异化和风险核心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平台版本生成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自建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可积累策略数据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审批、AI 标识、审计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自建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是产品骨架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收益归因与单位经济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自建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是最终价值和数据资产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平台登录与发布连接器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先购买/集成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自研维护成本高，市场已有低价能力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视频基础模型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调用第三方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不应投资底层模型竞争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高风险内容判断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人工 + 规则 + 模型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不能把最终责任完全交给模型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六、1–2 人团队的法律与运营边界</w:t>
      </w:r>
    </w:p>
    <w:p>
      <w:pPr>
        <w:spacing w:before="120" w:after="160"/>
        <w:ind w:left="397" w:right="227"/>
      </w:pPr>
      <w:r>
        <w:rPr>
          <w:rFonts w:ascii="Hiragino Sans GB" w:hAnsi="Hiragino Sans GB" w:eastAsia="Hiragino Sans GB"/>
          <w:color w:val="17365D"/>
          <w:sz w:val="23"/>
        </w:rPr>
        <w:t>本节是风险识别和经营建议，不替代中国执业律师针对具体业务、主体和地区出具的法律意见。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1. 一个会改变立项方式的新规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 xml:space="preserve">《互联网信息内容多渠道分发服务管理规定》已于 </w:t>
      </w:r>
      <w:r>
        <w:rPr>
          <w:rFonts w:ascii="Hiragino Sans GB" w:hAnsi="Hiragino Sans GB" w:eastAsia="Hiragino Sans GB"/>
          <w:b/>
          <w:sz w:val="21"/>
        </w:rPr>
        <w:t>2026 年 9 月 1 日</w:t>
      </w:r>
      <w:r>
        <w:rPr>
          <w:rFonts w:ascii="Hiragino Sans GB" w:hAnsi="Hiragino Sans GB" w:eastAsia="Hiragino Sans GB"/>
          <w:sz w:val="21"/>
        </w:rPr>
        <w:t>施行。其定义覆盖为公众账号内容生产发布提供策划、制作、分发、营销、推广、经纪等服务，和本业务高度相关。</w:t>
      </w:r>
      <w:hyperlink r:id="rId29">
        <w:r>
          <w:rPr>
            <w:rFonts w:ascii="Hiragino Sans GB" w:hAnsi="Hiragino Sans GB" w:eastAsia="Hiragino Sans GB"/>
            <w:color w:val="17365D"/>
            <w:u w:val="single"/>
          </w:rPr>
          <w:t>中国网信网</w:t>
        </w:r>
      </w:hyperlink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若公司为外部账号提供生成、发布或运营服务，可能被认定为“互联网信息内容多渠道分发服务机构”。规定要求包括：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依法登记经营主体，经营范围包含“互联网信息内容多渠道分发服务”；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设置信息内容管理负责人，并配置与业务规模相适应的内容管理团队；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与平台签订入驻协议，由平台核验并报省级网信部门备案；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在签约公众账号页面显著展示所属服务机构名称；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核验账号运营者身份，在协议中明确内容管理责任；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不得通过人工或技术手段流量造假，也不得批量发布同质化内容；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不得编造人设、拼凑剪接误导公众、恶意炒作突发事件；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从事网络视听、网络出版、互联网新闻信息等活动时，依法取得相应许可。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董事会影响：</w:t>
      </w:r>
      <w:r>
        <w:rPr>
          <w:rFonts w:ascii="Hiragino Sans GB" w:hAnsi="Hiragino Sans GB" w:eastAsia="Hiragino Sans GB"/>
          <w:sz w:val="21"/>
        </w:rPr>
        <w:t xml:space="preserve"> 一到两人的团队可以先运营公司的自有账号做内部实验；在未取得法律意见、完成经营登记并确认平台入驻路径前，不应替外部客户管理和发布账号。即使定位为 SaaS，因规则定义较宽，也不能自行假定“只提供工具就不适用”。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2. 其他主要法律风险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对小团队的实际风险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最小控制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AI 内容标识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未主动声明或移除标识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保存生成元数据；发布前强制标识检查；模型生成素材不可绕过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著作权与信息网络传播权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抓取文章、图片、音乐或视频后改写仍可能侵权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只用自有、明确授权或合规许可素材；保存来源、授权范围和到期日；不把“AI 改写”视为免责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个人信息与账号凭证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客户账号、手机号、身份证和收益数据可能属于个人信息或敏感信息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最小收集、单独授权、加密、本地高敏存储、离职/终止即撤权；与供应商签委托处理条款。</w:t>
            </w:r>
            <w:hyperlink r:id="rId30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个人信息保护法</w:t>
              </w:r>
            </w:hyperlink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平台协议和接口权限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模拟登录、Cookie 共用、逆向接口可能导致封号和违约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官方 API/OAuth 优先；供应商书面确认授权边界；禁止共享主密码；保留人工回退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广告与商业内容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客户内容可能构成互联网广告，需真实、可识别并履行审核、档案责任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商业内容显著标识；核验客户和证明文件；广告档案至少保存三年；医疗、药品、保健食品等需审查领域首阶段禁入。</w:t>
            </w:r>
            <w:hyperlink r:id="rId31">
              <w:r>
                <w:rPr>
                  <w:rFonts w:ascii="Hiragino Sans GB" w:hAnsi="Hiragino Sans GB" w:eastAsia="Hiragino Sans GB"/>
                  <w:color w:val="17365D"/>
                  <w:u w:val="single"/>
                </w:rPr>
                <w:t>互联网广告管理办法</w:t>
              </w:r>
            </w:hyperlink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新闻和社会热点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未经许可开展新闻采编、合成虚假新闻或炒作突发事件风险高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第一阶段禁做时政、社会突发、灾难事故、医疗诊断、投资建议等高风险垂类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虚假宣传和刷量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对客户承诺“稳定收益”，或购买点击/互动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对外只披露可核验历史数据和条件；禁止保收益、买粉、刷量及伪造案例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主体、合同与税务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以个人收款、责任不清、成本票据缺失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对外收费前完成主体和经营范围核验；使用书面合同、对公收款、开票与收入成本台账；具体税种请会计确认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3. 1–2 人最小组织设计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两人配置（推荐）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A：产品/内容/合规/收益负责人——选题、最终审批、收益台账、投诉和下架；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B：自动化/测试/平台负责人——生成流程、连接器、监控、备份和凭证安全。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两人互为关键操作备份。任何新增平台、热点类内容、外部客户首发和高风险素材，必须双人确认。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单人配置（仅限内部实验）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不接外部代运营；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所有内容设置至少 30 分钟延迟发布，留出撤销窗口；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每次批次最多 5 条，每天最多两次批处理；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使用固定检查清单，涉及人物指控、健康、金融、未成年人、灾难和公共事件一律不发；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凭证恢复、账号申诉和紧急下架必须有公司指定第二联系人。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4. 小团队效率原则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1. </w:t>
      </w:r>
      <w:r>
        <w:rPr>
          <w:rFonts w:ascii="Hiragino Sans GB" w:hAnsi="Hiragino Sans GB" w:eastAsia="Hiragino Sans GB"/>
          <w:b/>
          <w:sz w:val="21"/>
        </w:rPr>
        <w:t>少平台</w:t>
      </w:r>
      <w:r>
        <w:rPr>
          <w:rFonts w:ascii="Hiragino Sans GB" w:hAnsi="Hiragino Sans GB" w:eastAsia="Hiragino Sans GB"/>
          <w:sz w:val="21"/>
        </w:rPr>
        <w:t>：首批最多 3 个，不以覆盖面考核；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2. </w:t>
      </w:r>
      <w:r>
        <w:rPr>
          <w:rFonts w:ascii="Hiragino Sans GB" w:hAnsi="Hiragino Sans GB" w:eastAsia="Hiragino Sans GB"/>
          <w:b/>
          <w:sz w:val="21"/>
        </w:rPr>
        <w:t>少内容形态</w:t>
      </w:r>
      <w:r>
        <w:rPr>
          <w:rFonts w:ascii="Hiragino Sans GB" w:hAnsi="Hiragino Sans GB" w:eastAsia="Hiragino Sans GB"/>
          <w:sz w:val="21"/>
        </w:rPr>
        <w:t>：先图文和轻量口播，不做复杂影视级视频；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3. </w:t>
      </w:r>
      <w:r>
        <w:rPr>
          <w:rFonts w:ascii="Hiragino Sans GB" w:hAnsi="Hiragino Sans GB" w:eastAsia="Hiragino Sans GB"/>
          <w:b/>
          <w:sz w:val="21"/>
        </w:rPr>
        <w:t>少垂类</w:t>
      </w:r>
      <w:r>
        <w:rPr>
          <w:rFonts w:ascii="Hiragino Sans GB" w:hAnsi="Hiragino Sans GB" w:eastAsia="Hiragino Sans GB"/>
          <w:sz w:val="21"/>
        </w:rPr>
        <w:t>：只选 2 个低风险、可持续、有可信资料源的领域；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4. </w:t>
      </w:r>
      <w:r>
        <w:rPr>
          <w:rFonts w:ascii="Hiragino Sans GB" w:hAnsi="Hiragino Sans GB" w:eastAsia="Hiragino Sans GB"/>
          <w:b/>
          <w:sz w:val="21"/>
        </w:rPr>
        <w:t>批处理</w:t>
      </w:r>
      <w:r>
        <w:rPr>
          <w:rFonts w:ascii="Hiragino Sans GB" w:hAnsi="Hiragino Sans GB" w:eastAsia="Hiragino Sans GB"/>
          <w:sz w:val="21"/>
        </w:rPr>
        <w:t>：每周集中选题两次，生成后统一审核和排期；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5. </w:t>
      </w:r>
      <w:r>
        <w:rPr>
          <w:rFonts w:ascii="Hiragino Sans GB" w:hAnsi="Hiragino Sans GB" w:eastAsia="Hiragino Sans GB"/>
          <w:b/>
          <w:sz w:val="21"/>
        </w:rPr>
        <w:t>一次输入、三份原生稿</w:t>
      </w:r>
      <w:r>
        <w:rPr>
          <w:rFonts w:ascii="Hiragino Sans GB" w:hAnsi="Hiragino Sans GB" w:eastAsia="Hiragino Sans GB"/>
          <w:sz w:val="21"/>
        </w:rPr>
        <w:t>：共享事实底稿，不共享最终文案；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6. </w:t>
      </w:r>
      <w:r>
        <w:rPr>
          <w:rFonts w:ascii="Hiragino Sans GB" w:hAnsi="Hiragino Sans GB" w:eastAsia="Hiragino Sans GB"/>
          <w:b/>
          <w:sz w:val="21"/>
        </w:rPr>
        <w:t>异常不自动重试发布</w:t>
      </w:r>
      <w:r>
        <w:rPr>
          <w:rFonts w:ascii="Hiragino Sans GB" w:hAnsi="Hiragino Sans GB" w:eastAsia="Hiragino Sans GB"/>
          <w:sz w:val="21"/>
        </w:rPr>
        <w:t>：先查状态，避免重复稿；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7. </w:t>
      </w:r>
      <w:r>
        <w:rPr>
          <w:rFonts w:ascii="Hiragino Sans GB" w:hAnsi="Hiragino Sans GB" w:eastAsia="Hiragino Sans GB"/>
          <w:b/>
          <w:sz w:val="21"/>
        </w:rPr>
        <w:t>只看五个数</w:t>
      </w:r>
      <w:r>
        <w:rPr>
          <w:rFonts w:ascii="Hiragino Sans GB" w:hAnsi="Hiragino Sans GB" w:eastAsia="Hiragino Sans GB"/>
          <w:sz w:val="21"/>
        </w:rPr>
        <w:t>：发布成功率、审核分钟数、有效阅读/播放、实际收入、单篇贡献；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8. </w:t>
      </w:r>
      <w:r>
        <w:rPr>
          <w:rFonts w:ascii="Hiragino Sans GB" w:hAnsi="Hiragino Sans GB" w:eastAsia="Hiragino Sans GB"/>
          <w:b/>
          <w:sz w:val="21"/>
        </w:rPr>
        <w:t>不做客服型功能</w:t>
      </w:r>
      <w:r>
        <w:rPr>
          <w:rFonts w:ascii="Hiragino Sans GB" w:hAnsi="Hiragino Sans GB" w:eastAsia="Hiragino Sans GB"/>
          <w:sz w:val="21"/>
        </w:rPr>
        <w:t>：首版不聚合评论和私信，避免 24 小时运营义务；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9. </w:t>
      </w:r>
      <w:r>
        <w:rPr>
          <w:rFonts w:ascii="Hiragino Sans GB" w:hAnsi="Hiragino Sans GB" w:eastAsia="Hiragino Sans GB"/>
          <w:b/>
          <w:sz w:val="21"/>
        </w:rPr>
        <w:t>模板化停止</w:t>
      </w:r>
      <w:r>
        <w:rPr>
          <w:rFonts w:ascii="Hiragino Sans GB" w:hAnsi="Hiragino Sans GB" w:eastAsia="Hiragino Sans GB"/>
          <w:sz w:val="21"/>
        </w:rPr>
        <w:t>：命中高风险词、无来源、无授权、平台状态不明时自动转人工；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 xml:space="preserve">10. </w:t>
      </w:r>
      <w:r>
        <w:rPr>
          <w:rFonts w:ascii="Hiragino Sans GB" w:hAnsi="Hiragino Sans GB" w:eastAsia="Hiragino Sans GB"/>
          <w:b/>
          <w:sz w:val="21"/>
        </w:rPr>
        <w:t>每周淘汰</w:t>
      </w:r>
      <w:r>
        <w:rPr>
          <w:rFonts w:ascii="Hiragino Sans GB" w:hAnsi="Hiragino Sans GB" w:eastAsia="Hiragino Sans GB"/>
          <w:sz w:val="21"/>
        </w:rPr>
        <w:t>：没有收益资格或连续无有效信号的平台/选题停止投入。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小团队目标不是最大产量，而是把“每周获得一条可靠经营结论”的成本降到最低。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七、财务逻辑与预算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1. 单位经济公式</w:t>
      </w:r>
    </w:p>
    <w:p>
      <w:pPr>
        <w:widowControl/>
        <w:spacing w:before="0" w:after="100" w:line="300" w:lineRule="auto"/>
      </w:pPr>
      <w:r>
        <w:rPr>
          <w:rFonts w:ascii="SFMono-Regular" w:hAnsi="SFMono-Regular" w:eastAsia="SFMono-Regular"/>
          <w:color w:val="333333"/>
          <w:sz w:val="20"/>
        </w:rPr>
        <w:t>单篇贡献利润 = 平台实际结算收入 - 模型费 - 素材费 - 发布服务费 - 人工审核成本 - 失败返工成本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必须按平台、账号、选题和内容版本分别记录：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每千有效阅读/播放实际收入；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每条内容的现金成本与人工分钟数；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获得收益资格和首次结算所需时间；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发布失败率、处罚率、相似内容率；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同一选题不同平台版本的贡献差异。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 xml:space="preserve">目前实际 RPM、结算周期、账号资格获取率和获客成本全部为 </w:t>
      </w:r>
      <w:r>
        <w:rPr>
          <w:rFonts w:ascii="Hiragino Sans GB" w:hAnsi="Hiragino Sans GB" w:eastAsia="Hiragino Sans GB"/>
          <w:b/>
          <w:sz w:val="21"/>
        </w:rPr>
        <w:t>unknown</w:t>
      </w:r>
      <w:r>
        <w:rPr>
          <w:rFonts w:ascii="Hiragino Sans GB" w:hAnsi="Hiragino Sans GB" w:eastAsia="Hiragino Sans GB"/>
          <w:sz w:val="21"/>
        </w:rPr>
        <w:t>。本报告不以行业传闻或竞品宣传替代真实数据。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2. 6 周验证预算建议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上限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模型与搜索/核验调用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¥3,000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设置硬额度和每日告警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图片、音频、视频等素材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¥2,000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只使用可证明授权的来源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发布与运营工具订阅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¥2,000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同时验证主供应商和至少一个回退方案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中国法律适用性专项咨询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¥5,000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重点核验多渠道分发新规、经营范围、平台入驻和合同边界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测试、监控和不可预见费用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¥3,000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不得用于买号、买粉、刷量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现金预算总上限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¥15,000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超支必须重新审批</w:t>
            </w:r>
          </w:p>
        </w:tc>
      </w:tr>
    </w:tbl>
    <w:p>
      <w:pPr>
        <w:spacing w:after="40"/>
      </w:pP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 xml:space="preserve">建议由 </w:t>
      </w:r>
      <w:r>
        <w:rPr>
          <w:rFonts w:ascii="Hiragino Sans GB" w:hAnsi="Hiragino Sans GB" w:eastAsia="Hiragino Sans GB"/>
          <w:b/>
          <w:sz w:val="21"/>
        </w:rPr>
        <w:t>1 名主负责人 + 1 名自动化协作者</w:t>
      </w:r>
      <w:r>
        <w:rPr>
          <w:rFonts w:ascii="Hiragino Sans GB" w:hAnsi="Hiragino Sans GB" w:eastAsia="Hiragino Sans GB"/>
          <w:sz w:val="21"/>
        </w:rPr>
        <w:t xml:space="preserve"> 执行 6 周验证，各自不超过约 0.5 FTE；测试、合规和财务以清单与专项外部咨询补足。内部人力机会成本应单独记录，但不在本次现金预算内。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3. 第二阶段创业资金安排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第二阶段预算不在本次会议后自动释放。只有第一阶段七项门槛全部通过，并取得外部服务法律路径的书面结论，董事会授权代表才可签字放款。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三个月上限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要购买的结果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两人核心执行与必要外包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¥72,000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稳定交付、双人备份，不形成大团队固定成本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产品化与数据归因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¥30,000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可复用的审批、审计、收益台账和供应商适配层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内容实验与模型素材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¥15,000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扩大已验证垂类样本，不扩到高风险内容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法律、合同、隐私与财税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¥15,000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对外服务所需合同、隐私文本、经营与平台入驻执行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设计客户获取与交付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¥9,000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获得 3 家真实付费客户，而不是购买虚假线索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风险准备金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¥9,000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连接器切换、下架处置和意外支出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第二阶段上限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¥150,000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未达闸门即不释放或停止后续支出</w:t>
            </w:r>
          </w:p>
        </w:tc>
      </w:tr>
    </w:tbl>
    <w:p>
      <w:pPr>
        <w:spacing w:after="40"/>
      </w:pP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第二阶段不以注册用户数和内容产量作为成功标准，必须同时达到：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1. 3 家付费设计客户签署合规合同并完成首期付款；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2. 至少 2 家完成一次续费或书面续约承诺；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3. 单客户交付毛利率达到 50% 以上；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4. 单客户每周人工投入下降到可由两人团队稳定承担；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5. 无重大合规事件、账号处罚或凭证泄露；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6. 至少一个客户能清楚验证内容带来的业务或平台收入结果。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上述目标是放款和复审条件，不是收入承诺。若未达到，不追加第三阶段资金，不用“市场教育需要时间”掩盖未验证的付费意愿。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4. 资金回报路径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第一阶段的回报是决策证据；第二阶段的回报才是商业验证。收入顺序应为：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1. 自营账号平台实际结算收入；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2. 设计客户的月度运营服务费；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3. 流程稳定后才出现的软件订阅或 API 收入。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这样安排的原因是，1–2 人团队最早能卖出的不是“成熟软件”，而是带人工兜底的结果。服务阶段能验证客户究竟愿意为什么付费，并把重复部分沉淀成软件，避免先开发后找需求。</w:t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八、6 周验证计划与闸门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周期安排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重点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必须交付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第 1 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法律与平台资格验证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新规法律备忘录、经营/平台入驻判断、账号权限表、凭证方案、一次三平台 dry-run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第 2 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内容与合规基线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2 个垂类、来源规范、AI 标识、版权清单、人工审批流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第 3–4 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小样本运行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每个平台逐步累积样本；记录发布、阅读、互动、收入和成本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第 5 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策略对照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比较平台化改写与同主题版本；淘汰无效平台/选题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第 6 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财务与风险复盘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单位经济、处罚/失败、继续/调整/终止建议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通过条件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以下均为内部决策阈值，不是行业基准：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1. 至少覆盖 2 个垂类、3 个平台，每个平台形成 20 条以上有效样本；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2. 技术发布成功率不低于 95%，且失败隔离、无重复发布；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3. 首轮事实与版权检查通过率不低于 80%；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4. 严重合规事件、账号处罚、凭证泄露均为 0；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5. 人工审核中位时长降至每条 10 分钟以内；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6. 至少一个平台连续两周的实际收入覆盖该平台对应的变动成本；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7. 每笔收入可以回溯到具体内容版本及其成本。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达到全部条件后，管理层可提请第二阶段；未达到第 6、7 条，即使阅读或点赞增长，也不得宣称商业模式成立。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停止条件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不能可靠执行 AI 标识、版权或敏感内容检查；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连接器持续失效，维护投入超过内容生产价值；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发生严重事实错误、侵权、刷量、重复铺稿或账号处罚；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30 天仍不能获得任何真实收益数据；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>• 只能证明“发得更多”，不能证明实际贡献改善。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九、主要风险与应对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控制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平台政策和收益资格变化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收入中断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按平台建资格台账；政策变更告警；不承诺固定收益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低质 AI 内容被降权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无收入、账号受损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平台化改写、相似度限制、每日上限、人工抽检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事实错误与热点伤害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声誉和监管风险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来源白名单、争议主题人工复核、可撤回流程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版权和肖像权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投诉与赔偿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素材授权记录；禁止抓取来源不明素材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凭证泄露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账号和数据损失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OAuth 优先、本地高敏存储、最小权限、可撤销授权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RPA/API 失效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发布中断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统一适配层、健康检查、供应商替换、人工回退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数据看似增长但不赚钱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错误扩张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只以实际结算和贡献利润作为商业闸门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对单个平台依赖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议价和政策风险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初期三平台对照；任何平台不超过全部样本的一半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多渠道分发新规不适配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无法合法对外提供服务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第一阶段仅自营；外部服务前取得书面法律意见、完成登记及平台入驻核验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关键人故障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无人能撤稿、续授权或恢复流程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8"/>
              </w:rPr>
              <w:t>双人互备、恢复手册、第二联系人、凭证托管与每月恢复演练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十、战略选择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投入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预期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A. 不做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最低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无新增风险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错失运营数据与潜在服务机会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不推荐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B. 两阶段创业验证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首期 1.5 万元；过闸后第二期 15 万元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获得真实收益、成本、合规证据及 3 家付费客户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可能验证失败，但资金分期、损失封顶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推荐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C. 立即公开 SaaS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高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抢占市场时间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同质化、连接器维护、收益未验证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不推荐</w:t>
            </w:r>
          </w:p>
        </w:tc>
      </w:tr>
    </w:tbl>
    <w:p>
      <w:pPr>
        <w:spacing w:after="40"/>
      </w:pP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方案 B 的价值在于用有限预算购买“是否值得继续”的证据。即使最终停止，形成的平台规则、内容成本和真实收益数据也能服务公司其他内容业务。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董事会可能提出的五个问题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问题一：既然已有这么多工具，为什么还要投？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因为我们不投底层群发器。现有工具解决“发出去”，但客户和公司真正缺的是“发什么、是否合法、花了多少、赚了多少、是否值得继续”。发布能力可以买，收益与合规数据必须自己积累。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问题二：平台规则一变，产品是否归零？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底层连接器采用多供应商适配和人工回退，不将业务价值绑定到某个平台接口。第一阶段同时测试三个平台，任何单一平台不占全部样本的一半。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问题三：AI 内容会不会被限流或处罚？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会，这是核心风险，所以第一阶段以低风险垂类、来源核验、AI 标识、人工批准和低频发布为前提。项目不靠隐藏 AI 身份或批量同质化内容获利。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问题四：一两个人能做吗？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能做验证，不能同时做全平台产品、代运营、客服和销售。方案主动砍掉底层模型、全平台连接器、评论私信和高风险内容，把两人只放在内容质量、自动化、合规和收益数据上。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b/>
          <w:sz w:val="21"/>
        </w:rPr>
        <w:t>问题五：为什么不等别人验证后再进入？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别人能证明工具有人买，不能替我们证明哪类内容和客户对我们有正单位经济。2026 年 9 月新规正在重塑准入门槛；现在用小额资金建立合规路径和数据，比日后以更高成本补合规更有选择权。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董事会陈述建议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开场不要说“AI 可以自动发很多内容”，而应说：</w:t>
      </w:r>
    </w:p>
    <w:p>
      <w:pPr>
        <w:spacing w:before="120" w:after="160"/>
        <w:ind w:left="397" w:right="227"/>
      </w:pPr>
      <w:r>
        <w:rPr>
          <w:rFonts w:ascii="Hiragino Sans GB" w:hAnsi="Hiragino Sans GB" w:eastAsia="Hiragino Sans GB"/>
          <w:color w:val="17365D"/>
          <w:sz w:val="23"/>
        </w:rPr>
        <w:t>我们申请的不是一笔扩张资金，而是一笔有停止条件的创业验证资金。15,000 元先回答法律与单位经济是否成立；答案为否，我们六周内停止。答案为是，才释放 150,000 元，用三个月换取三家真实付费客户。我们不和成熟工具比平台数量，我们购买发布能力，自己积累合规与收益数据。董事会承担的下行被封顶，而公司保留一个可形成新业务线的上行选择。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十一、拟请董事会通过的决议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建议形成如下决议：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1. 原则同意“AI 内容收益实验室”采用两阶段创业资金安排，总授权上限人民币 165,000 元；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2. 第一阶段立即释放不超过人民币 15,000 元，用于 6 周封闭验证，其中包含多渠道分发新规专项法律咨询；禁止用于账号、粉丝、阅读或互动购买；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3. 授权管理层使用 3–5 个公司可控账号，在不超过 3 个首批平台上进行低频、人工审批后的内容实验；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4. 第一阶段不公开销售、不承诺收益、不开发全平台自有连接器；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5. 六周后依据本报告的七项通过条件复审；任何重大合规、侵权、凭证或账号处罚事件触发立即暂停；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6. 只有第一阶段七项门槛全部通过，且取得外部服务法律适用、经营登记与平台入驻路径的书面结论，经董事会授权代表签字后，方可释放第二阶段不超过人民币 150,000 元；</w:t>
      </w:r>
    </w:p>
    <w:p>
      <w:pPr>
        <w:widowControl/>
        <w:spacing w:before="0" w:after="60" w:line="288" w:lineRule="auto"/>
        <w:ind w:left="340" w:hanging="340"/>
      </w:pPr>
      <w:r>
        <w:rPr>
          <w:rFonts w:ascii="Hiragino Sans GB" w:hAnsi="Hiragino Sans GB" w:eastAsia="Hiragino Sans GB"/>
          <w:sz w:val="21"/>
        </w:rPr>
        <w:t>7. 第二阶段以 3 家付费客户、至少 2 家续费、单客户毛利率不低于 50% 及零重大合规事件为复审条件；未达到则不追加第三阶段资金。</w:t>
      </w:r>
    </w:p>
    <w:p>
      <w:pPr>
        <w:pStyle w:val="Heading1"/>
      </w:pPr>
      <w:r>
        <w:rPr>
          <w:rFonts w:ascii="Hiragino Sans GB" w:hAnsi="Hiragino Sans GB" w:eastAsia="Hiragino Sans GB"/>
          <w:sz w:val="34"/>
        </w:rPr>
        <w:t>十二、结论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该方向可以成为公司业务线，但成立条件不是拥有一个自动发文工具，而是掌握一套能持续回答以下问题的系统：</w:t>
      </w:r>
    </w:p>
    <w:p>
      <w:pPr>
        <w:spacing w:before="120" w:after="160"/>
        <w:ind w:left="397" w:right="227"/>
      </w:pPr>
      <w:r>
        <w:rPr>
          <w:rFonts w:ascii="Hiragino Sans GB" w:hAnsi="Hiragino Sans GB" w:eastAsia="Hiragino Sans GB"/>
          <w:color w:val="17365D"/>
          <w:sz w:val="23"/>
        </w:rPr>
        <w:t>什么内容，在什么平台，以什么成本，经过什么审核，最终产生了多少可结算收入？</w:t>
      </w:r>
    </w:p>
    <w:p>
      <w:pPr>
        <w:widowControl/>
        <w:spacing w:before="0" w:after="100" w:line="300" w:lineRule="auto"/>
      </w:pPr>
      <w:r>
        <w:rPr>
          <w:rFonts w:ascii="Hiragino Sans GB" w:hAnsi="Hiragino Sans GB" w:eastAsia="Hiragino Sans GB"/>
          <w:sz w:val="21"/>
        </w:rPr>
        <w:t>当前证据足以支持一项小额、可停止、只运营自有账号的验证投资，不足以支持公开 SaaS、外部代运营、规模化账号矩阵或稳定收益预测。2026 年 9 月刚施行的多渠道分发新规显著提高了对外服务门槛；董事会最稳妥的选择是批准方案 B，以法律可行性与真实单位经济共同决定下一步。</w:t>
      </w:r>
    </w:p>
    <w:p>
      <w:pPr>
        <w:pStyle w:val="Heading2"/>
      </w:pPr>
      <w:r>
        <w:rPr>
          <w:rFonts w:ascii="Hiragino Sans GB" w:hAnsi="Hiragino Sans GB" w:eastAsia="Hiragino Sans GB"/>
          <w:sz w:val="26"/>
        </w:rPr>
        <w:t>附：详细研究底稿</w:t>
      </w:r>
    </w:p>
    <w:p>
      <w:pPr>
        <w:widowControl/>
        <w:spacing w:before="0" w:after="60" w:line="288" w:lineRule="auto"/>
        <w:ind w:left="312" w:hanging="227"/>
      </w:pPr>
      <w:r>
        <w:rPr>
          <w:rFonts w:ascii="Hiragino Sans GB" w:hAnsi="Hiragino Sans GB" w:eastAsia="Hiragino Sans GB"/>
          <w:sz w:val="21"/>
        </w:rPr>
        <w:t xml:space="preserve">• </w:t>
      </w:r>
      <w:hyperlink r:id="rId32">
        <w:r>
          <w:rPr>
            <w:rFonts w:ascii="Hiragino Sans GB" w:hAnsi="Hiragino Sans GB" w:eastAsia="Hiragino Sans GB"/>
            <w:color w:val="17365D"/>
            <w:u w:val="single"/>
          </w:rPr>
          <w:t>AI 内容生成与跨平台发布业务线调研</w:t>
        </w:r>
      </w:hyperlink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  <w:vAlign w:val="center"/>
        </w:tcPr>
        <w:p>
          <w:r>
            <w:rPr>
              <w:rFonts w:ascii="Hiragino Sans GB" w:hAnsi="Hiragino Sans GB" w:eastAsia="Hiragino Sans GB"/>
              <w:color w:val="666666"/>
              <w:sz w:val="17"/>
            </w:rPr>
            <w:t>Ted AI智能科技有限公司　内部决策材料</w:t>
          </w:r>
        </w:p>
      </w:tc>
      <w:tc>
        <w:tcPr>
          <w:tcW w:type="dxa" w:w="4824"/>
          <w:vAlign w:val="center"/>
        </w:tcPr>
        <w:p>
          <w:pPr>
            <w:jc w:val="right"/>
          </w:pPr>
          <w:r>
            <w:rPr>
              <w:rFonts w:ascii="Hiragino Sans GB" w:hAnsi="Hiragino Sans GB" w:eastAsia="Hiragino Sans GB"/>
              <w:color w:val="666666"/>
              <w:sz w:val="17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iragino Sans GB" w:hAnsi="Hiragino Sans GB" w:eastAsia="Hiragino Sans GB"/>
              <w:color w:val="666666"/>
              <w:sz w:val="17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2.cnnic.cn/n4/2026/0417/c326-11590.html" TargetMode="External"/><Relationship Id="rId11" Type="http://schemas.openxmlformats.org/officeDocument/2006/relationships/hyperlink" Target="https://www3.cnnic.cn/n4/2026/0304/c88-11549.html" TargetMode="External"/><Relationship Id="rId12" Type="http://schemas.openxmlformats.org/officeDocument/2006/relationships/hyperlink" Target="https://www.cac.gov.cn/2025-03/14/c_1743654685899683.htm" TargetMode="External"/><Relationship Id="rId13" Type="http://schemas.openxmlformats.org/officeDocument/2006/relationships/hyperlink" Target="https://kefu.weibo.com/faqdetail?id=20760" TargetMode="External"/><Relationship Id="rId14" Type="http://schemas.openxmlformats.org/officeDocument/2006/relationships/hyperlink" Target="https://www.zhihu.com/parker/campaign/1787133401637089281?t=1731297901462" TargetMode="External"/><Relationship Id="rId15" Type="http://schemas.openxmlformats.org/officeDocument/2006/relationships/hyperlink" Target="https://www.yixiaoer.cn/" TargetMode="External"/><Relationship Id="rId16" Type="http://schemas.openxmlformats.org/officeDocument/2006/relationships/hyperlink" Target="https://www.timexxs.com/" TargetMode="External"/><Relationship Id="rId17" Type="http://schemas.openxmlformats.org/officeDocument/2006/relationships/hyperlink" Target="https://www.zhimon.com/" TargetMode="External"/><Relationship Id="rId18" Type="http://schemas.openxmlformats.org/officeDocument/2006/relationships/hyperlink" Target="https://superdir.cn/pricing" TargetMode="External"/><Relationship Id="rId19" Type="http://schemas.openxmlformats.org/officeDocument/2006/relationships/hyperlink" Target="https://supawriter.sevnday.com/" TargetMode="External"/><Relationship Id="rId20" Type="http://schemas.openxmlformats.org/officeDocument/2006/relationships/hyperlink" Target="https://matrix.newrank.cn/product" TargetMode="External"/><Relationship Id="rId21" Type="http://schemas.openxmlformats.org/officeDocument/2006/relationships/hyperlink" Target="https://www.xianlem.cn/" TargetMode="External"/><Relationship Id="rId22" Type="http://schemas.openxmlformats.org/officeDocument/2006/relationships/hyperlink" Target="https://yimeizhushou.com/" TargetMode="External"/><Relationship Id="rId23" Type="http://schemas.openxmlformats.org/officeDocument/2006/relationships/hyperlink" Target="https://push.96.cn/" TargetMode="External"/><Relationship Id="rId24" Type="http://schemas.openxmlformats.org/officeDocument/2006/relationships/hyperlink" Target="https://www.yixiaoer.cn/cli" TargetMode="External"/><Relationship Id="rId25" Type="http://schemas.openxmlformats.org/officeDocument/2006/relationships/hyperlink" Target="https://buffer.com/pricing" TargetMode="External"/><Relationship Id="rId26" Type="http://schemas.openxmlformats.org/officeDocument/2006/relationships/hyperlink" Target="https://support.typefully.com/en/articles/9210135-scheduling-and-calendar" TargetMode="External"/><Relationship Id="rId27" Type="http://schemas.openxmlformats.org/officeDocument/2006/relationships/hyperlink" Target="https://repurpose.io/pricing/" TargetMode="External"/><Relationship Id="rId28" Type="http://schemas.openxmlformats.org/officeDocument/2006/relationships/hyperlink" Target="https://metricool.com/pricing/" TargetMode="External"/><Relationship Id="rId29" Type="http://schemas.openxmlformats.org/officeDocument/2006/relationships/hyperlink" Target="https://www.cac.gov.cn/2026-05/29/c_1781795864412597.htm" TargetMode="External"/><Relationship Id="rId30" Type="http://schemas.openxmlformats.org/officeDocument/2006/relationships/hyperlink" Target="https://www.npc.gov.cn/npc/c2/c30834/202108/t20210820_313088.html" TargetMode="External"/><Relationship Id="rId31" Type="http://schemas.openxmlformats.org/officeDocument/2006/relationships/hyperlink" Target="https://www.samr.gov.cn/zw/zfxxgk/fdzdgknr/fgs/art/2023/art_d93a579afd45413e8576e4623fab348f.html" TargetMode="External"/><Relationship Id="rId32" Type="http://schemas.openxmlformats.org/officeDocument/2006/relationships/hyperlink" Target="../../research/2026-09-13-ai-content-publishing-business-lin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内容收益实验室 董事会决策报告</dc:title>
  <dc:subject>AI 内容生成与跨平台发布业务线立项决策</dc:subject>
  <dc:creator>Ted AI智能科技有限公司</dc:creator>
  <cp:keywords>AI内容, 跨平台发布, 董事会, 业务线, 合规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