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92B0" w14:textId="24371185" w:rsidR="00542A02" w:rsidRPr="0079210F" w:rsidRDefault="00542A02" w:rsidP="0079210F">
      <w:pPr>
        <w:jc w:val="center"/>
        <w:rPr>
          <w:b/>
          <w:bCs/>
          <w:color w:val="000000" w:themeColor="text1"/>
          <w:szCs w:val="28"/>
          <w:shd w:val="clear" w:color="auto" w:fill="FFFFFF"/>
          <w:lang w:val="en-US"/>
        </w:rPr>
      </w:pPr>
    </w:p>
    <w:p w14:paraId="153DE756" w14:textId="2441CDCE" w:rsidR="00BF3DC2" w:rsidRPr="0079210F" w:rsidRDefault="00BF3DC2" w:rsidP="0079210F">
      <w:pPr>
        <w:ind w:firstLine="709"/>
        <w:rPr>
          <w:color w:val="000000" w:themeColor="text1"/>
          <w:szCs w:val="28"/>
          <w:shd w:val="clear" w:color="auto" w:fill="FFFFFF"/>
          <w:lang w:val="en-US"/>
        </w:rPr>
      </w:pPr>
      <w:r w:rsidRPr="0079210F">
        <w:rPr>
          <w:color w:val="000000" w:themeColor="text1"/>
          <w:szCs w:val="28"/>
          <w:shd w:val="clear" w:color="auto" w:fill="FFFFFF"/>
          <w:lang w:val="en-US"/>
        </w:rPr>
        <w:t>The article entitled</w:t>
      </w:r>
      <w:r w:rsidRPr="0079210F">
        <w:rPr>
          <w:color w:val="000000" w:themeColor="text1"/>
          <w:szCs w:val="28"/>
          <w:shd w:val="clear" w:color="auto" w:fill="FFFFFF"/>
          <w:lang w:val="en-US"/>
        </w:rPr>
        <w:t xml:space="preserve"> “</w:t>
      </w:r>
      <w:r w:rsidRPr="0079210F">
        <w:rPr>
          <w:color w:val="000000" w:themeColor="text1"/>
          <w:szCs w:val="28"/>
          <w:lang w:val="en-US"/>
        </w:rPr>
        <w:t>Food safety in the 21st century</w:t>
      </w:r>
      <w:r w:rsidRPr="0079210F">
        <w:rPr>
          <w:color w:val="000000" w:themeColor="text1"/>
          <w:szCs w:val="28"/>
          <w:shd w:val="clear" w:color="auto" w:fill="FFFFFF"/>
          <w:lang w:val="en-US"/>
        </w:rPr>
        <w:t>”.</w:t>
      </w:r>
    </w:p>
    <w:p w14:paraId="0B812730" w14:textId="1B7B796F" w:rsidR="00BF3DC2" w:rsidRPr="00F36658" w:rsidRDefault="00BF3DC2" w:rsidP="0079210F">
      <w:pPr>
        <w:ind w:firstLine="709"/>
        <w:rPr>
          <w:color w:val="000000" w:themeColor="text1"/>
          <w:szCs w:val="28"/>
          <w:shd w:val="clear" w:color="auto" w:fill="FFFFFF"/>
          <w:lang w:val="en-US"/>
        </w:rPr>
      </w:pPr>
      <w:r w:rsidRPr="0079210F">
        <w:rPr>
          <w:color w:val="000000" w:themeColor="text1"/>
          <w:szCs w:val="28"/>
          <w:lang w:val="en-US"/>
        </w:rPr>
        <w:t>The author</w:t>
      </w:r>
      <w:r w:rsidRPr="0079210F">
        <w:rPr>
          <w:color w:val="000000" w:themeColor="text1"/>
          <w:szCs w:val="28"/>
          <w:lang w:val="en-US"/>
        </w:rPr>
        <w:t>s</w:t>
      </w:r>
      <w:r w:rsidRPr="0079210F">
        <w:rPr>
          <w:color w:val="000000" w:themeColor="text1"/>
          <w:szCs w:val="28"/>
          <w:lang w:val="en-US"/>
        </w:rPr>
        <w:t xml:space="preserve"> of the article </w:t>
      </w:r>
      <w:r w:rsidRPr="0079210F">
        <w:rPr>
          <w:color w:val="000000" w:themeColor="text1"/>
          <w:szCs w:val="28"/>
          <w:lang w:val="en-US"/>
        </w:rPr>
        <w:t xml:space="preserve">are F. </w:t>
      </w:r>
      <w:proofErr w:type="spellStart"/>
      <w:r w:rsidRPr="0079210F">
        <w:rPr>
          <w:color w:val="000000" w:themeColor="text1"/>
          <w:szCs w:val="28"/>
          <w:lang w:val="en-US"/>
        </w:rPr>
        <w:t>Käferstein</w:t>
      </w:r>
      <w:proofErr w:type="spellEnd"/>
      <w:r w:rsidRPr="0079210F">
        <w:rPr>
          <w:color w:val="000000" w:themeColor="text1"/>
          <w:szCs w:val="28"/>
          <w:lang w:val="en-US"/>
        </w:rPr>
        <w:t xml:space="preserve"> and </w:t>
      </w:r>
      <w:r w:rsidRPr="0079210F">
        <w:rPr>
          <w:color w:val="000000" w:themeColor="text1"/>
          <w:szCs w:val="28"/>
          <w:lang w:val="en-US"/>
        </w:rPr>
        <w:t xml:space="preserve">M. </w:t>
      </w:r>
      <w:proofErr w:type="spellStart"/>
      <w:r w:rsidRPr="0079210F">
        <w:rPr>
          <w:color w:val="000000" w:themeColor="text1"/>
          <w:szCs w:val="28"/>
          <w:lang w:val="en-US"/>
        </w:rPr>
        <w:t>Abdussalam</w:t>
      </w:r>
      <w:proofErr w:type="spellEnd"/>
      <w:r w:rsidRPr="0079210F">
        <w:rPr>
          <w:color w:val="000000" w:themeColor="text1"/>
          <w:szCs w:val="28"/>
          <w:lang w:val="en-US"/>
        </w:rPr>
        <w:t xml:space="preserve">. </w:t>
      </w:r>
      <w:r w:rsidRPr="0079210F">
        <w:rPr>
          <w:color w:val="000000" w:themeColor="text1"/>
          <w:szCs w:val="28"/>
          <w:lang w:val="en-US"/>
        </w:rPr>
        <w:t>It was written by</w:t>
      </w:r>
      <w:r w:rsidRPr="0079210F">
        <w:rPr>
          <w:color w:val="000000" w:themeColor="text1"/>
          <w:szCs w:val="28"/>
          <w:lang w:val="en-US"/>
        </w:rPr>
        <w:t xml:space="preserve"> </w:t>
      </w:r>
      <w:r w:rsidRPr="00F36658">
        <w:rPr>
          <w:color w:val="000000" w:themeColor="text1"/>
          <w:szCs w:val="28"/>
          <w:shd w:val="clear" w:color="auto" w:fill="FFFFFF"/>
          <w:lang w:val="en-US"/>
        </w:rPr>
        <w:t>1999</w:t>
      </w:r>
      <w:r w:rsidR="00F36658" w:rsidRPr="00F36658">
        <w:rPr>
          <w:color w:val="000000" w:themeColor="text1"/>
          <w:szCs w:val="28"/>
          <w:shd w:val="clear" w:color="auto" w:fill="FFFFFF"/>
          <w:lang w:val="en-US"/>
        </w:rPr>
        <w:t>.</w:t>
      </w:r>
    </w:p>
    <w:p w14:paraId="347C853B" w14:textId="550333E0" w:rsidR="00756132" w:rsidRPr="0079210F" w:rsidRDefault="00756132" w:rsidP="0079210F">
      <w:pPr>
        <w:ind w:firstLine="709"/>
        <w:rPr>
          <w:color w:val="000000" w:themeColor="text1"/>
          <w:szCs w:val="28"/>
          <w:lang w:val="en-US"/>
        </w:rPr>
      </w:pPr>
      <w:r w:rsidRPr="0079210F">
        <w:rPr>
          <w:color w:val="000000" w:themeColor="text1"/>
          <w:szCs w:val="28"/>
          <w:lang w:val="en-US"/>
        </w:rPr>
        <w:t>The article comes up from Bulletin of the World Health Organization.</w:t>
      </w:r>
    </w:p>
    <w:p w14:paraId="76EA08C4" w14:textId="03CE1EAB" w:rsidR="0079210F" w:rsidRPr="0079210F" w:rsidRDefault="0079210F" w:rsidP="0079210F">
      <w:pPr>
        <w:ind w:firstLine="709"/>
        <w:rPr>
          <w:color w:val="000000" w:themeColor="text1"/>
          <w:szCs w:val="28"/>
          <w:lang w:val="en-US"/>
        </w:rPr>
      </w:pPr>
      <w:r w:rsidRPr="0079210F">
        <w:rPr>
          <w:color w:val="000000" w:themeColor="text1"/>
          <w:szCs w:val="28"/>
          <w:lang w:val="en-US"/>
        </w:rPr>
        <w:t>It is on the National Library of Medicine page at number</w:t>
      </w:r>
      <w:r w:rsidRPr="0079210F">
        <w:rPr>
          <w:color w:val="000000" w:themeColor="text1"/>
          <w:szCs w:val="28"/>
          <w:lang w:val="en-US"/>
        </w:rPr>
        <w:t xml:space="preserve"> </w:t>
      </w:r>
      <w:r w:rsidRPr="0079210F">
        <w:rPr>
          <w:color w:val="000000" w:themeColor="text1"/>
          <w:szCs w:val="28"/>
          <w:lang w:val="en-US"/>
        </w:rPr>
        <w:t>10327714:</w:t>
      </w:r>
      <w:r w:rsidRPr="0079210F">
        <w:rPr>
          <w:color w:val="000000" w:themeColor="text1"/>
          <w:szCs w:val="28"/>
          <w:lang w:val="en-US"/>
        </w:rPr>
        <w:t xml:space="preserve"> </w:t>
      </w:r>
      <w:hyperlink r:id="rId5" w:history="1">
        <w:r w:rsidRPr="0079210F">
          <w:rPr>
            <w:rStyle w:val="a6"/>
            <w:color w:val="000000" w:themeColor="text1"/>
            <w:szCs w:val="28"/>
            <w:lang w:val="en-US"/>
          </w:rPr>
          <w:t>https://www.ncbi.nlm.nih.gov/pmc/articles/PMC2557642/</w:t>
        </w:r>
      </w:hyperlink>
      <w:r w:rsidRPr="0079210F">
        <w:rPr>
          <w:color w:val="000000" w:themeColor="text1"/>
          <w:szCs w:val="28"/>
          <w:lang w:val="en-US"/>
        </w:rPr>
        <w:t>.</w:t>
      </w:r>
    </w:p>
    <w:p w14:paraId="7D424F09" w14:textId="4EB05128" w:rsidR="0079210F" w:rsidRDefault="00216F8A" w:rsidP="00BF3DC2">
      <w:pPr>
        <w:ind w:firstLine="709"/>
        <w:rPr>
          <w:szCs w:val="28"/>
        </w:rPr>
      </w:pPr>
      <w:r w:rsidRPr="00216F8A">
        <w:rPr>
          <w:szCs w:val="28"/>
          <w:lang w:val="en-US"/>
        </w:rPr>
        <w:t>The article lies in to the field of medicine</w:t>
      </w:r>
      <w:r>
        <w:rPr>
          <w:szCs w:val="28"/>
          <w:lang w:val="en-US"/>
        </w:rPr>
        <w:t>.</w:t>
      </w:r>
    </w:p>
    <w:p w14:paraId="24B3AB85" w14:textId="31CE4DAF" w:rsidR="00F36658" w:rsidRDefault="00F36658" w:rsidP="00F36658">
      <w:pPr>
        <w:ind w:firstLine="709"/>
        <w:rPr>
          <w:szCs w:val="28"/>
          <w:lang w:val="en-US"/>
        </w:rPr>
      </w:pPr>
      <w:r w:rsidRPr="00F36658">
        <w:rPr>
          <w:szCs w:val="28"/>
          <w:lang w:val="en-US"/>
        </w:rPr>
        <w:t>The main theme is that new methods need to be applied to monitor and evaluate the safety of additives. This should be done with reference to the law, but with more reliance on voluntary compliance.</w:t>
      </w:r>
    </w:p>
    <w:p w14:paraId="5B018682" w14:textId="77777777" w:rsidR="00F36658" w:rsidRDefault="00F36658" w:rsidP="00F36658">
      <w:pPr>
        <w:ind w:firstLine="709"/>
        <w:rPr>
          <w:szCs w:val="28"/>
          <w:lang w:val="en-US"/>
        </w:rPr>
      </w:pPr>
      <w:r w:rsidRPr="00216F8A">
        <w:rPr>
          <w:szCs w:val="28"/>
          <w:lang w:val="en-US"/>
        </w:rPr>
        <w:t>The article tells how big the role of food additives is and what harm they cause.</w:t>
      </w:r>
    </w:p>
    <w:p w14:paraId="5D9FEADA" w14:textId="5540219A" w:rsidR="00F36658" w:rsidRDefault="00F36658" w:rsidP="00F36658">
      <w:pPr>
        <w:ind w:firstLine="709"/>
        <w:rPr>
          <w:szCs w:val="28"/>
          <w:lang w:val="en-US"/>
        </w:rPr>
      </w:pPr>
      <w:r w:rsidRPr="00F36658">
        <w:rPr>
          <w:szCs w:val="28"/>
          <w:lang w:val="en-US"/>
        </w:rPr>
        <w:t>At the beginning of the article the author states, that</w:t>
      </w:r>
      <w:r w:rsidRPr="00F36658">
        <w:rPr>
          <w:szCs w:val="28"/>
          <w:lang w:val="en-US"/>
        </w:rPr>
        <w:t xml:space="preserve"> the</w:t>
      </w:r>
      <w:r w:rsidRPr="00F36658">
        <w:rPr>
          <w:szCs w:val="28"/>
          <w:lang w:val="en-US"/>
        </w:rPr>
        <w:t xml:space="preserve"> global importance of food safety is not fully</w:t>
      </w:r>
      <w:r>
        <w:rPr>
          <w:szCs w:val="28"/>
          <w:lang w:val="en-US"/>
        </w:rPr>
        <w:t xml:space="preserve"> </w:t>
      </w:r>
      <w:r w:rsidRPr="00F36658">
        <w:rPr>
          <w:szCs w:val="28"/>
          <w:lang w:val="en-US"/>
        </w:rPr>
        <w:t>appreciated by many public health authorities.</w:t>
      </w:r>
      <w:r>
        <w:rPr>
          <w:szCs w:val="28"/>
          <w:lang w:val="en-US"/>
        </w:rPr>
        <w:t xml:space="preserve"> </w:t>
      </w:r>
      <w:r w:rsidRPr="00F36658">
        <w:rPr>
          <w:szCs w:val="28"/>
          <w:lang w:val="en-US"/>
        </w:rPr>
        <w:t>Epidemiological surveillance has demonstrated a</w:t>
      </w:r>
      <w:r>
        <w:rPr>
          <w:szCs w:val="28"/>
          <w:lang w:val="en-US"/>
        </w:rPr>
        <w:t xml:space="preserve"> </w:t>
      </w:r>
      <w:r w:rsidRPr="00F36658">
        <w:rPr>
          <w:szCs w:val="28"/>
          <w:lang w:val="en-US"/>
        </w:rPr>
        <w:t>constant increase in the prevalence of foodborne</w:t>
      </w:r>
      <w:r>
        <w:rPr>
          <w:szCs w:val="28"/>
          <w:lang w:val="en-US"/>
        </w:rPr>
        <w:t xml:space="preserve"> </w:t>
      </w:r>
      <w:r w:rsidRPr="00F36658">
        <w:rPr>
          <w:szCs w:val="28"/>
          <w:lang w:val="en-US"/>
        </w:rPr>
        <w:t>illness. Moreover, there have been some devastating</w:t>
      </w:r>
      <w:r>
        <w:rPr>
          <w:szCs w:val="28"/>
          <w:lang w:val="en-US"/>
        </w:rPr>
        <w:t xml:space="preserve"> </w:t>
      </w:r>
      <w:r w:rsidRPr="00F36658">
        <w:rPr>
          <w:szCs w:val="28"/>
          <w:lang w:val="en-US"/>
        </w:rPr>
        <w:t>outbreaks of salmonellosis, cholera, enterohaemorrhagic Escherichia coli infections, hepatitis A and other</w:t>
      </w:r>
      <w:r>
        <w:rPr>
          <w:szCs w:val="28"/>
          <w:lang w:val="en-US"/>
        </w:rPr>
        <w:t xml:space="preserve"> </w:t>
      </w:r>
      <w:r w:rsidRPr="00F36658">
        <w:rPr>
          <w:szCs w:val="28"/>
          <w:lang w:val="en-US"/>
        </w:rPr>
        <w:t>diseases in both developed and developing countries.</w:t>
      </w:r>
    </w:p>
    <w:p w14:paraId="5AC43F42" w14:textId="77777777" w:rsidR="00CA7056" w:rsidRDefault="00CA7056" w:rsidP="00CA7056">
      <w:pPr>
        <w:ind w:firstLine="709"/>
        <w:rPr>
          <w:szCs w:val="28"/>
          <w:lang w:val="en-US"/>
        </w:rPr>
      </w:pPr>
      <w:r w:rsidRPr="00CA7056">
        <w:rPr>
          <w:szCs w:val="28"/>
          <w:lang w:val="en-US"/>
        </w:rPr>
        <w:t>The author goes on to say that an association has been established between the</w:t>
      </w:r>
      <w:r w:rsidRPr="00CA7056">
        <w:rPr>
          <w:szCs w:val="28"/>
          <w:lang w:val="en-US"/>
        </w:rPr>
        <w:t xml:space="preserve"> </w:t>
      </w:r>
      <w:r w:rsidRPr="00CA7056">
        <w:rPr>
          <w:szCs w:val="28"/>
          <w:lang w:val="en-US"/>
        </w:rPr>
        <w:t>prevalence of cholera and dysentery and the oceanic</w:t>
      </w:r>
      <w:r w:rsidRPr="00CA7056">
        <w:rPr>
          <w:szCs w:val="28"/>
          <w:lang w:val="en-US"/>
        </w:rPr>
        <w:t xml:space="preserve"> </w:t>
      </w:r>
      <w:r w:rsidRPr="00CA7056">
        <w:rPr>
          <w:szCs w:val="28"/>
          <w:lang w:val="en-US"/>
        </w:rPr>
        <w:t xml:space="preserve">phenomenon known as El </w:t>
      </w:r>
      <w:proofErr w:type="spellStart"/>
      <w:r w:rsidRPr="00CA7056">
        <w:rPr>
          <w:szCs w:val="28"/>
          <w:lang w:val="en-US"/>
        </w:rPr>
        <w:t>NinÄo</w:t>
      </w:r>
      <w:proofErr w:type="spellEnd"/>
      <w:r w:rsidRPr="00CA7056">
        <w:rPr>
          <w:szCs w:val="28"/>
          <w:lang w:val="en-US"/>
        </w:rPr>
        <w:t>. This underlines the</w:t>
      </w:r>
      <w:r w:rsidRPr="00CA7056">
        <w:rPr>
          <w:szCs w:val="28"/>
          <w:lang w:val="en-US"/>
        </w:rPr>
        <w:t xml:space="preserve"> </w:t>
      </w:r>
      <w:r w:rsidRPr="00CA7056">
        <w:rPr>
          <w:szCs w:val="28"/>
          <w:lang w:val="en-US"/>
        </w:rPr>
        <w:t>need for accurate forecasts of this and other</w:t>
      </w:r>
      <w:r w:rsidRPr="00CA7056">
        <w:rPr>
          <w:szCs w:val="28"/>
          <w:lang w:val="en-US"/>
        </w:rPr>
        <w:t xml:space="preserve"> </w:t>
      </w:r>
      <w:r w:rsidRPr="00CA7056">
        <w:rPr>
          <w:szCs w:val="28"/>
          <w:lang w:val="en-US"/>
        </w:rPr>
        <w:t>phenomena so that preventive measures can be taken</w:t>
      </w:r>
      <w:r w:rsidRPr="00CA7056">
        <w:rPr>
          <w:szCs w:val="28"/>
          <w:lang w:val="en-US"/>
        </w:rPr>
        <w:t xml:space="preserve"> </w:t>
      </w:r>
      <w:r w:rsidRPr="00CA7056">
        <w:rPr>
          <w:szCs w:val="28"/>
          <w:lang w:val="en-US"/>
        </w:rPr>
        <w:t>against the diseases concerned.</w:t>
      </w:r>
      <w:r w:rsidRPr="00CA7056">
        <w:rPr>
          <w:szCs w:val="28"/>
          <w:lang w:val="en-US"/>
        </w:rPr>
        <w:t xml:space="preserve"> </w:t>
      </w:r>
      <w:r w:rsidRPr="00CA7056">
        <w:rPr>
          <w:szCs w:val="28"/>
          <w:lang w:val="en-US"/>
        </w:rPr>
        <w:t>Toxic chemicals released into the environment</w:t>
      </w:r>
      <w:r w:rsidRPr="00CA7056">
        <w:rPr>
          <w:szCs w:val="28"/>
          <w:lang w:val="en-US"/>
        </w:rPr>
        <w:t xml:space="preserve"> </w:t>
      </w:r>
      <w:r w:rsidRPr="00CA7056">
        <w:rPr>
          <w:szCs w:val="28"/>
          <w:lang w:val="en-US"/>
        </w:rPr>
        <w:t>by industrial processes and agricultural practices may</w:t>
      </w:r>
      <w:r w:rsidRPr="00CA7056">
        <w:rPr>
          <w:szCs w:val="28"/>
          <w:lang w:val="en-US"/>
        </w:rPr>
        <w:t xml:space="preserve"> </w:t>
      </w:r>
      <w:r w:rsidRPr="00CA7056">
        <w:rPr>
          <w:szCs w:val="28"/>
          <w:lang w:val="en-US"/>
        </w:rPr>
        <w:t>enter the human food chain. When small quantities</w:t>
      </w:r>
      <w:r w:rsidRPr="00CA7056">
        <w:rPr>
          <w:szCs w:val="28"/>
          <w:lang w:val="en-US"/>
        </w:rPr>
        <w:t xml:space="preserve"> </w:t>
      </w:r>
      <w:r w:rsidRPr="00CA7056">
        <w:rPr>
          <w:szCs w:val="28"/>
          <w:lang w:val="en-US"/>
        </w:rPr>
        <w:t>are present in food the effects on health are thought</w:t>
      </w:r>
      <w:r w:rsidRPr="00CA7056">
        <w:rPr>
          <w:szCs w:val="28"/>
          <w:lang w:val="en-US"/>
        </w:rPr>
        <w:t xml:space="preserve"> </w:t>
      </w:r>
      <w:r w:rsidRPr="00CA7056">
        <w:rPr>
          <w:szCs w:val="28"/>
          <w:lang w:val="en-US"/>
        </w:rPr>
        <w:t>to be minimal. Nevertheless, there is concern in this</w:t>
      </w:r>
      <w:r w:rsidRPr="00CA7056">
        <w:rPr>
          <w:szCs w:val="28"/>
          <w:lang w:val="en-US"/>
        </w:rPr>
        <w:t xml:space="preserve"> </w:t>
      </w:r>
      <w:r w:rsidRPr="00CA7056">
        <w:rPr>
          <w:szCs w:val="28"/>
          <w:lang w:val="en-US"/>
        </w:rPr>
        <w:t>area, one reason being that pesticides are known to</w:t>
      </w:r>
      <w:r w:rsidRPr="00CA7056">
        <w:rPr>
          <w:szCs w:val="28"/>
          <w:lang w:val="en-US"/>
        </w:rPr>
        <w:t xml:space="preserve"> </w:t>
      </w:r>
      <w:r w:rsidRPr="00CA7056">
        <w:rPr>
          <w:szCs w:val="28"/>
          <w:lang w:val="en-US"/>
        </w:rPr>
        <w:t>suppress the immune system in experimental</w:t>
      </w:r>
      <w:r w:rsidRPr="00CA7056">
        <w:rPr>
          <w:szCs w:val="28"/>
          <w:lang w:val="en-US"/>
        </w:rPr>
        <w:t xml:space="preserve"> </w:t>
      </w:r>
      <w:r w:rsidRPr="00CA7056">
        <w:rPr>
          <w:szCs w:val="28"/>
          <w:lang w:val="en-US"/>
        </w:rPr>
        <w:t>animals.</w:t>
      </w:r>
      <w:r>
        <w:rPr>
          <w:szCs w:val="28"/>
          <w:lang w:val="en-US"/>
        </w:rPr>
        <w:t xml:space="preserve"> </w:t>
      </w:r>
    </w:p>
    <w:p w14:paraId="1855E8FD" w14:textId="1DA45FA0" w:rsidR="00CA7056" w:rsidRDefault="00CA7056" w:rsidP="00CA7056">
      <w:pPr>
        <w:ind w:firstLine="709"/>
        <w:rPr>
          <w:szCs w:val="28"/>
          <w:lang w:val="en-US"/>
        </w:rPr>
      </w:pPr>
      <w:r w:rsidRPr="00CA7056">
        <w:rPr>
          <w:szCs w:val="28"/>
          <w:lang w:val="en-US"/>
        </w:rPr>
        <w:t>Further, the author points out that poverty and inequity are the principal factors</w:t>
      </w:r>
      <w:r>
        <w:rPr>
          <w:szCs w:val="28"/>
          <w:lang w:val="en-US"/>
        </w:rPr>
        <w:t xml:space="preserve"> </w:t>
      </w:r>
      <w:r w:rsidRPr="00CA7056">
        <w:rPr>
          <w:szCs w:val="28"/>
          <w:lang w:val="en-US"/>
        </w:rPr>
        <w:t>contributing to poor health. With</w:t>
      </w:r>
      <w:r>
        <w:rPr>
          <w:szCs w:val="28"/>
          <w:lang w:val="en-US"/>
        </w:rPr>
        <w:t xml:space="preserve"> </w:t>
      </w:r>
      <w:r w:rsidRPr="00CA7056">
        <w:rPr>
          <w:szCs w:val="28"/>
          <w:lang w:val="en-US"/>
        </w:rPr>
        <w:t xml:space="preserve">regard to food safety, the gap between </w:t>
      </w:r>
      <w:r w:rsidRPr="00CA7056">
        <w:rPr>
          <w:szCs w:val="28"/>
          <w:lang w:val="en-US"/>
        </w:rPr>
        <w:lastRenderedPageBreak/>
        <w:t>privileged and</w:t>
      </w:r>
      <w:r>
        <w:rPr>
          <w:szCs w:val="28"/>
          <w:lang w:val="en-US"/>
        </w:rPr>
        <w:t xml:space="preserve"> </w:t>
      </w:r>
      <w:r w:rsidRPr="00CA7056">
        <w:rPr>
          <w:szCs w:val="28"/>
          <w:lang w:val="en-US"/>
        </w:rPr>
        <w:t>unprivileged groups may seem less marked than in</w:t>
      </w:r>
      <w:r>
        <w:rPr>
          <w:szCs w:val="28"/>
          <w:lang w:val="en-US"/>
        </w:rPr>
        <w:t xml:space="preserve"> </w:t>
      </w:r>
      <w:r w:rsidRPr="00CA7056">
        <w:rPr>
          <w:szCs w:val="28"/>
          <w:lang w:val="en-US"/>
        </w:rPr>
        <w:t>other areas because foodborne diseases are quite</w:t>
      </w:r>
      <w:r>
        <w:rPr>
          <w:szCs w:val="28"/>
          <w:lang w:val="en-US"/>
        </w:rPr>
        <w:t xml:space="preserve"> </w:t>
      </w:r>
      <w:r w:rsidRPr="00CA7056">
        <w:rPr>
          <w:szCs w:val="28"/>
          <w:lang w:val="en-US"/>
        </w:rPr>
        <w:t>prevalent in rich societies as well as in poor ones.</w:t>
      </w:r>
      <w:r>
        <w:rPr>
          <w:szCs w:val="28"/>
          <w:lang w:val="en-US"/>
        </w:rPr>
        <w:t xml:space="preserve"> </w:t>
      </w:r>
      <w:r w:rsidRPr="00CA7056">
        <w:rPr>
          <w:szCs w:val="28"/>
          <w:lang w:val="en-US"/>
        </w:rPr>
        <w:t>However, people in rich societies generally suffer</w:t>
      </w:r>
      <w:r>
        <w:rPr>
          <w:szCs w:val="28"/>
          <w:lang w:val="en-US"/>
        </w:rPr>
        <w:t xml:space="preserve"> </w:t>
      </w:r>
      <w:r w:rsidRPr="00CA7056">
        <w:rPr>
          <w:szCs w:val="28"/>
          <w:lang w:val="en-US"/>
        </w:rPr>
        <w:t>from mild diseases that persist because of hazardous</w:t>
      </w:r>
      <w:r>
        <w:rPr>
          <w:szCs w:val="28"/>
          <w:lang w:val="en-US"/>
        </w:rPr>
        <w:t xml:space="preserve"> </w:t>
      </w:r>
      <w:r w:rsidRPr="00CA7056">
        <w:rPr>
          <w:szCs w:val="28"/>
          <w:lang w:val="en-US"/>
        </w:rPr>
        <w:t>lifestyles (preference for raw foods, mishandling of</w:t>
      </w:r>
      <w:r>
        <w:rPr>
          <w:szCs w:val="28"/>
          <w:lang w:val="en-US"/>
        </w:rPr>
        <w:t xml:space="preserve"> </w:t>
      </w:r>
      <w:r w:rsidRPr="00CA7056">
        <w:rPr>
          <w:szCs w:val="28"/>
          <w:lang w:val="en-US"/>
        </w:rPr>
        <w:t>foods, etc.), whereas in poor communities the</w:t>
      </w:r>
      <w:r>
        <w:rPr>
          <w:szCs w:val="28"/>
          <w:lang w:val="en-US"/>
        </w:rPr>
        <w:t xml:space="preserve"> </w:t>
      </w:r>
      <w:r w:rsidRPr="00CA7056">
        <w:rPr>
          <w:szCs w:val="28"/>
          <w:lang w:val="en-US"/>
        </w:rPr>
        <w:t>serious, life-threatening diseases such as infant</w:t>
      </w:r>
      <w:r>
        <w:rPr>
          <w:szCs w:val="28"/>
          <w:lang w:val="en-US"/>
        </w:rPr>
        <w:t xml:space="preserve"> </w:t>
      </w:r>
      <w:proofErr w:type="spellStart"/>
      <w:r w:rsidRPr="00CA7056">
        <w:rPr>
          <w:szCs w:val="28"/>
          <w:lang w:val="en-US"/>
        </w:rPr>
        <w:t>diarrhoea</w:t>
      </w:r>
      <w:proofErr w:type="spellEnd"/>
      <w:r w:rsidRPr="00CA7056">
        <w:rPr>
          <w:szCs w:val="28"/>
          <w:lang w:val="en-US"/>
        </w:rPr>
        <w:t>, cholera, typhoid fever and fluke infection</w:t>
      </w:r>
      <w:r>
        <w:rPr>
          <w:szCs w:val="28"/>
          <w:lang w:val="en-US"/>
        </w:rPr>
        <w:t xml:space="preserve"> </w:t>
      </w:r>
      <w:r w:rsidRPr="00CA7056">
        <w:rPr>
          <w:szCs w:val="28"/>
          <w:lang w:val="en-US"/>
        </w:rPr>
        <w:t>are still quite prevalent and cause high levels of</w:t>
      </w:r>
      <w:r>
        <w:rPr>
          <w:szCs w:val="28"/>
          <w:lang w:val="en-US"/>
        </w:rPr>
        <w:t xml:space="preserve"> </w:t>
      </w:r>
      <w:r w:rsidRPr="00CA7056">
        <w:rPr>
          <w:szCs w:val="28"/>
          <w:lang w:val="en-US"/>
        </w:rPr>
        <w:t>mortality.</w:t>
      </w:r>
    </w:p>
    <w:p w14:paraId="45F537B8" w14:textId="24FD5517" w:rsidR="00203BB4" w:rsidRDefault="00203BB4" w:rsidP="00CA7056">
      <w:pPr>
        <w:ind w:firstLine="709"/>
        <w:rPr>
          <w:szCs w:val="28"/>
          <w:lang w:val="en-US"/>
        </w:rPr>
      </w:pPr>
      <w:r w:rsidRPr="00203BB4">
        <w:rPr>
          <w:szCs w:val="28"/>
          <w:lang w:val="en-US"/>
        </w:rPr>
        <w:t>Summing up, the author tells how government organizations should cooperate with each other in order to monitor food safety.</w:t>
      </w:r>
    </w:p>
    <w:p w14:paraId="25B611D9" w14:textId="0632C0C7" w:rsidR="00E356C6" w:rsidRDefault="00E356C6" w:rsidP="00CA7056">
      <w:pPr>
        <w:ind w:firstLine="709"/>
        <w:rPr>
          <w:szCs w:val="28"/>
          <w:lang w:val="en-US"/>
        </w:rPr>
      </w:pPr>
      <w:r w:rsidRPr="00E356C6">
        <w:rPr>
          <w:szCs w:val="28"/>
          <w:lang w:val="en-US"/>
        </w:rPr>
        <w:t>I find the article useful and interesting because, as they say, We Are What We Eat.</w:t>
      </w:r>
    </w:p>
    <w:p w14:paraId="641A4E29" w14:textId="728E7DFA" w:rsidR="002B70BB" w:rsidRDefault="002B70BB" w:rsidP="00CA7056">
      <w:pPr>
        <w:ind w:firstLine="709"/>
        <w:rPr>
          <w:szCs w:val="28"/>
          <w:lang w:val="en-US"/>
        </w:rPr>
      </w:pPr>
      <w:r w:rsidRPr="002B70BB">
        <w:rPr>
          <w:szCs w:val="28"/>
          <w:lang w:val="en-US"/>
        </w:rPr>
        <w:t>In my opinion, the proposed solution by the author will not work because it requires a lot of time to implement, and large investments</w:t>
      </w:r>
      <w:r w:rsidRPr="002B70BB">
        <w:rPr>
          <w:szCs w:val="28"/>
          <w:lang w:val="en-US"/>
        </w:rPr>
        <w:t>.</w:t>
      </w:r>
    </w:p>
    <w:p w14:paraId="5F83D9A7" w14:textId="6BED7E43" w:rsidR="002B70BB" w:rsidRPr="002B70BB" w:rsidRDefault="002B70BB" w:rsidP="00CA7056">
      <w:pPr>
        <w:ind w:firstLine="709"/>
        <w:rPr>
          <w:szCs w:val="28"/>
          <w:lang w:val="en-US"/>
        </w:rPr>
      </w:pPr>
      <w:r w:rsidRPr="002B70BB">
        <w:rPr>
          <w:szCs w:val="28"/>
          <w:lang w:val="en-US"/>
        </w:rPr>
        <w:t>The article is intended for a wide range of readers, these are students, supporters of a healthy lifestyle and others.</w:t>
      </w:r>
    </w:p>
    <w:p w14:paraId="63DF0169" w14:textId="7D461333" w:rsidR="00E356C6" w:rsidRDefault="00E356C6" w:rsidP="00CA7056">
      <w:pPr>
        <w:ind w:firstLine="709"/>
        <w:rPr>
          <w:szCs w:val="28"/>
          <w:lang w:val="en-US"/>
        </w:rPr>
      </w:pPr>
    </w:p>
    <w:p w14:paraId="0E4291B7" w14:textId="322B40D6" w:rsidR="00E356C6" w:rsidRPr="00F36658" w:rsidRDefault="00E356C6" w:rsidP="00CA7056">
      <w:pPr>
        <w:ind w:firstLine="709"/>
        <w:rPr>
          <w:szCs w:val="28"/>
          <w:lang w:val="en-US"/>
        </w:rPr>
      </w:pPr>
    </w:p>
    <w:sectPr w:rsidR="00E356C6" w:rsidRPr="00F366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41BCA"/>
    <w:multiLevelType w:val="multilevel"/>
    <w:tmpl w:val="B2FAD24A"/>
    <w:lvl w:ilvl="0">
      <w:start w:val="1"/>
      <w:numFmt w:val="decimal"/>
      <w:pStyle w:val="1"/>
      <w:lvlText w:val="%1."/>
      <w:lvlJc w:val="left"/>
      <w:pPr>
        <w:ind w:left="502"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4329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FB"/>
    <w:rsid w:val="00012DEE"/>
    <w:rsid w:val="000B37FB"/>
    <w:rsid w:val="00203BB4"/>
    <w:rsid w:val="00216F8A"/>
    <w:rsid w:val="002B70BB"/>
    <w:rsid w:val="002D06B1"/>
    <w:rsid w:val="00542A02"/>
    <w:rsid w:val="00756132"/>
    <w:rsid w:val="0079210F"/>
    <w:rsid w:val="00BF3DC2"/>
    <w:rsid w:val="00CA7056"/>
    <w:rsid w:val="00E356C6"/>
    <w:rsid w:val="00F366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46B0"/>
  <w15:chartTrackingRefBased/>
  <w15:docId w15:val="{3724E024-E372-4518-B34D-DF0C0684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2DEE"/>
    <w:pPr>
      <w:spacing w:after="0" w:line="360" w:lineRule="auto"/>
      <w:jc w:val="both"/>
    </w:pPr>
    <w:rPr>
      <w:rFonts w:ascii="Times New Roman" w:hAnsi="Times New Roman" w:cs="Times New Roman"/>
      <w:sz w:val="28"/>
      <w:szCs w:val="20"/>
      <w:lang w:eastAsia="ru-RU"/>
    </w:rPr>
  </w:style>
  <w:style w:type="paragraph" w:styleId="1">
    <w:name w:val="heading 1"/>
    <w:basedOn w:val="a"/>
    <w:next w:val="a"/>
    <w:link w:val="10"/>
    <w:uiPriority w:val="9"/>
    <w:qFormat/>
    <w:rsid w:val="00012DEE"/>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Загалово1_TEG"/>
    <w:basedOn w:val="1"/>
    <w:next w:val="a4"/>
    <w:uiPriority w:val="1"/>
    <w:qFormat/>
    <w:rsid w:val="00012DEE"/>
    <w:pPr>
      <w:spacing w:line="480" w:lineRule="auto"/>
      <w:jc w:val="center"/>
    </w:pPr>
    <w:rPr>
      <w:rFonts w:ascii="Times New Roman" w:eastAsia="Times New Roman" w:hAnsi="Times New Roman" w:cs="Times New Roman"/>
      <w:color w:val="000000" w:themeColor="text1"/>
      <w:sz w:val="28"/>
      <w:szCs w:val="20"/>
    </w:rPr>
  </w:style>
  <w:style w:type="character" w:customStyle="1" w:styleId="10">
    <w:name w:val="Заголовок 1 Знак"/>
    <w:basedOn w:val="a0"/>
    <w:link w:val="1"/>
    <w:uiPriority w:val="9"/>
    <w:rsid w:val="00012DEE"/>
    <w:rPr>
      <w:rFonts w:asciiTheme="majorHAnsi" w:eastAsiaTheme="majorEastAsia" w:hAnsiTheme="majorHAnsi" w:cstheme="majorBidi"/>
      <w:color w:val="2F5496" w:themeColor="accent1" w:themeShade="BF"/>
      <w:sz w:val="32"/>
      <w:szCs w:val="32"/>
      <w:lang w:eastAsia="ru-RU"/>
    </w:rPr>
  </w:style>
  <w:style w:type="paragraph" w:styleId="a4">
    <w:name w:val="Title"/>
    <w:basedOn w:val="a"/>
    <w:next w:val="a"/>
    <w:link w:val="a5"/>
    <w:uiPriority w:val="10"/>
    <w:qFormat/>
    <w:rsid w:val="00012DEE"/>
    <w:pPr>
      <w:spacing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012DEE"/>
    <w:rPr>
      <w:rFonts w:asciiTheme="majorHAnsi" w:eastAsiaTheme="majorEastAsia" w:hAnsiTheme="majorHAnsi" w:cstheme="majorBidi"/>
      <w:spacing w:val="-10"/>
      <w:kern w:val="28"/>
      <w:sz w:val="56"/>
      <w:szCs w:val="56"/>
      <w:lang w:eastAsia="ru-RU"/>
    </w:rPr>
  </w:style>
  <w:style w:type="character" w:styleId="a6">
    <w:name w:val="Hyperlink"/>
    <w:basedOn w:val="a0"/>
    <w:uiPriority w:val="99"/>
    <w:unhideWhenUsed/>
    <w:rsid w:val="0079210F"/>
    <w:rPr>
      <w:color w:val="0563C1" w:themeColor="hyperlink"/>
      <w:u w:val="single"/>
    </w:rPr>
  </w:style>
  <w:style w:type="character" w:styleId="a7">
    <w:name w:val="Unresolved Mention"/>
    <w:basedOn w:val="a0"/>
    <w:uiPriority w:val="99"/>
    <w:semiHidden/>
    <w:unhideWhenUsed/>
    <w:rsid w:val="00792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255764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451</Words>
  <Characters>2573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Tunyan Edmon</dc:creator>
  <cp:keywords/>
  <dc:description/>
  <cp:lastModifiedBy>Tunyan Edmon</cp:lastModifiedBy>
  <cp:revision>6</cp:revision>
  <dcterms:created xsi:type="dcterms:W3CDTF">2022-11-20T05:34:00Z</dcterms:created>
  <dcterms:modified xsi:type="dcterms:W3CDTF">2022-11-20T06:40:00Z</dcterms:modified>
</cp:coreProperties>
</file>