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3.4544643622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.54545043125626"/>
        <w:gridCol w:w="1502.1818051582525"/>
        <w:gridCol w:w="1646.1818039098061"/>
        <w:gridCol w:w="1233.8181711212665"/>
        <w:gridCol w:w="1331.999988451871"/>
        <w:gridCol w:w="1646.1818039098061"/>
        <w:gridCol w:w="1518.54544138002"/>
        <w:tblGridChange w:id="0">
          <w:tblGrid>
            <w:gridCol w:w="474.54545043125626"/>
            <w:gridCol w:w="1502.1818051582525"/>
            <w:gridCol w:w="1646.1818039098061"/>
            <w:gridCol w:w="1233.8181711212665"/>
            <w:gridCol w:w="1331.999988451871"/>
            <w:gridCol w:w="1646.1818039098061"/>
            <w:gridCol w:w="1518.54544138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Modification, Unauthorized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 loss, legal liability, loss of reputation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Breach, Financial fraud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likelihood is low because Nigeria is yet to adopt electronic transmission of financial budget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Employment Record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Modification, Unauthorized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loss, legal 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Breach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likelihood is low because of security data encryption and authentication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Election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Modification, Denial of 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Reputational damage, Disruption of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Breach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likelihood is high because of poor security process and manual voting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Citizen Personal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loss, legal 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Intellectual property theft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likelihood is low because of data encryption and authentication process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Monetary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Unauthorized access, financial theft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 loss,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 Fraud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 is high because of poor cybersecurity and data protection awareness among the 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Communication/Network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Denial of Service,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disruption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and legal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likelihood is low because of increased network security measures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