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Algerian" w:hAnsi="Algerian" w:cs="Algerian"/>
          <w:b/>
          <w:bCs/>
          <w:sz w:val="28"/>
          <w:szCs w:val="28"/>
          <w:lang w:val="en-GB"/>
        </w:rPr>
      </w:pPr>
      <w:r>
        <w:rPr>
          <w:rFonts w:hint="default" w:ascii="Algerian" w:hAnsi="Algerian" w:cs="Algerian"/>
          <w:b/>
          <w:bCs/>
          <w:sz w:val="28"/>
          <w:szCs w:val="28"/>
          <w:lang w:val="en-GB"/>
        </w:rPr>
        <w:t>AJIBABI TOLIAT ADEROJU</w:t>
      </w:r>
    </w:p>
    <w:p>
      <w:pPr>
        <w:bidi w:val="0"/>
        <w:rPr>
          <w:rFonts w:hint="default" w:ascii="Algerian" w:hAnsi="Algerian" w:cs="Algerian"/>
          <w:b/>
          <w:bCs/>
          <w:sz w:val="28"/>
          <w:szCs w:val="28"/>
          <w:lang w:val="en-GB"/>
        </w:rPr>
      </w:pPr>
      <w:r>
        <w:rPr>
          <w:rFonts w:hint="default" w:ascii="Algerian" w:hAnsi="Algerian" w:cs="Algerian"/>
          <w:b/>
          <w:bCs/>
          <w:sz w:val="28"/>
          <w:szCs w:val="28"/>
          <w:lang w:val="en-GB"/>
        </w:rPr>
        <w:t>FE/23/43452395</w:t>
      </w:r>
    </w:p>
    <w:p>
      <w:pPr>
        <w:pStyle w:val="4"/>
        <w:keepNext w:val="0"/>
        <w:keepLines w:val="0"/>
        <w:widowControl/>
        <w:suppressLineNumbers w:val="0"/>
        <w:jc w:val="center"/>
        <w:rPr>
          <w:rFonts w:hint="default"/>
          <w:b/>
          <w:bCs/>
          <w:sz w:val="24"/>
          <w:szCs w:val="24"/>
          <w:u w:val="single"/>
          <w:lang w:val="en-GB"/>
        </w:rPr>
      </w:pPr>
      <w:r>
        <w:rPr>
          <w:rFonts w:hint="default"/>
          <w:b/>
          <w:bCs/>
          <w:sz w:val="24"/>
          <w:szCs w:val="24"/>
          <w:u w:val="single"/>
          <w:lang w:val="en-GB"/>
        </w:rPr>
        <w:t>ASSIGNMENT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/>
          <w:b w:val="0"/>
          <w:bCs w:val="0"/>
          <w:sz w:val="28"/>
          <w:szCs w:val="28"/>
          <w:u w:val="none"/>
          <w:lang w:val="en-GB"/>
        </w:rPr>
        <w:t xml:space="preserve">Using the NIST CSF 2.0, Explain in a tabular form how to identify, protect, detect, respond, recover and govern the 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u w:val="none"/>
          <w:lang w:val="en-GB"/>
        </w:rPr>
        <w:t>potential risk faced by the financial sector.</w:t>
      </w:r>
    </w:p>
    <w:p>
      <w:pPr>
        <w:pStyle w:val="4"/>
        <w:keepNext w:val="0"/>
        <w:keepLines w:val="0"/>
        <w:widowControl/>
        <w:suppressLineNumbers w:val="0"/>
        <w:jc w:val="center"/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  <w:u w:val="single"/>
          <w:lang w:val="en-GB"/>
        </w:rPr>
        <w:t>ANSWER</w:t>
      </w:r>
    </w:p>
    <w:tbl>
      <w:tblPr>
        <w:tblW w:w="14477" w:type="dxa"/>
        <w:tblCellSpacing w:w="15" w:type="dxa"/>
        <w:tblInd w:w="-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5"/>
        <w:gridCol w:w="2172"/>
        <w:gridCol w:w="1761"/>
        <w:gridCol w:w="1762"/>
        <w:gridCol w:w="1762"/>
        <w:gridCol w:w="1901"/>
        <w:gridCol w:w="27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9" w:hRule="atLeast"/>
          <w:tblHeader/>
          <w:tblCellSpacing w:w="15" w:type="dxa"/>
        </w:trPr>
        <w:tc>
          <w:tcPr>
            <w:tcW w:w="23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Risk Category</w:t>
            </w:r>
          </w:p>
        </w:tc>
        <w:tc>
          <w:tcPr>
            <w:tcW w:w="21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Identify</w:t>
            </w:r>
          </w:p>
        </w:tc>
        <w:tc>
          <w:tcPr>
            <w:tcW w:w="173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Detect</w:t>
            </w:r>
          </w:p>
        </w:tc>
        <w:tc>
          <w:tcPr>
            <w:tcW w:w="17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Protect</w:t>
            </w:r>
          </w:p>
        </w:tc>
        <w:tc>
          <w:tcPr>
            <w:tcW w:w="17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Respond</w:t>
            </w:r>
          </w:p>
        </w:tc>
        <w:tc>
          <w:tcPr>
            <w:tcW w:w="18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Recover</w:t>
            </w:r>
          </w:p>
        </w:tc>
        <w:tc>
          <w:tcPr>
            <w:tcW w:w="26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Govern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0" w:hRule="atLeast"/>
          <w:tblCellSpacing w:w="15" w:type="dxa"/>
        </w:trPr>
        <w:tc>
          <w:tcPr>
            <w:tcW w:w="23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Regulato</w:t>
            </w:r>
            <w:r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GB" w:eastAsia="zh-CN" w:bidi="ar"/>
              </w:rPr>
              <w:t>r</w:t>
            </w:r>
            <w:r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y &amp; Complian</w:t>
            </w:r>
            <w:r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GB" w:eastAsia="zh-CN" w:bidi="ar"/>
              </w:rPr>
              <w:t>c</w:t>
            </w:r>
            <w:r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e Risk</w:t>
            </w:r>
          </w:p>
        </w:tc>
        <w:tc>
          <w:tcPr>
            <w:tcW w:w="21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Conduct regulatory assessments.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Identify applicable laws and regulations.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Perform gap analysis.</w:t>
            </w:r>
          </w:p>
        </w:tc>
        <w:tc>
          <w:tcPr>
            <w:tcW w:w="173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Use compliance monitoring tools.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Track regulatory changes.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Conduct regular audits and reviews.</w:t>
            </w:r>
          </w:p>
        </w:tc>
        <w:tc>
          <w:tcPr>
            <w:tcW w:w="17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Develop and implement compliance policies.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Provide ongoing training.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Establish internal controls.</w:t>
            </w:r>
          </w:p>
        </w:tc>
        <w:tc>
          <w:tcPr>
            <w:tcW w:w="17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Address compliance violations.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Engage with regulators.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- Update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compliance processes and policies.</w:t>
            </w:r>
          </w:p>
        </w:tc>
        <w:tc>
          <w:tcPr>
            <w:tcW w:w="18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Implement corrective measures.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Update and improve compliance programs.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Conduct post-incident reviews.</w:t>
            </w:r>
          </w:p>
        </w:tc>
        <w:tc>
          <w:tcPr>
            <w:tcW w:w="26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Establish a compliance oversight committee.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Regularly review and update compliance frameworks.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Ensure continuous training and awareness.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3" w:hRule="atLeast"/>
          <w:tblCellSpacing w:w="15" w:type="dxa"/>
        </w:trPr>
        <w:tc>
          <w:tcPr>
            <w:tcW w:w="23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Credit Risk</w:t>
            </w:r>
          </w:p>
        </w:tc>
        <w:tc>
          <w:tcPr>
            <w:tcW w:w="21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Evaluate borrower creditworthiness.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Review credit policies and limits.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Analyze historical credit data.</w:t>
            </w:r>
          </w:p>
        </w:tc>
        <w:tc>
          <w:tcPr>
            <w:tcW w:w="173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Monitor credit exposures.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Use credit scoring models.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Track payment performance and defaults.</w:t>
            </w:r>
          </w:p>
        </w:tc>
        <w:tc>
          <w:tcPr>
            <w:tcW w:w="17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Set credit limits.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Require collateral or guarantees.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Diversify credit portfolio.</w:t>
            </w:r>
          </w:p>
        </w:tc>
        <w:tc>
          <w:tcPr>
            <w:tcW w:w="17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Take action on overdue accounts.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Adjust credit terms or limits.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- Initiate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collection processes.</w:t>
            </w:r>
          </w:p>
        </w:tc>
        <w:tc>
          <w:tcPr>
            <w:tcW w:w="18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Reassess and restructure credit terms.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Recover from defaults.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Write off uncollectible debts.</w:t>
            </w:r>
          </w:p>
        </w:tc>
        <w:tc>
          <w:tcPr>
            <w:tcW w:w="26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Implement a credit risk management framework.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Regularly review credit policies.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Monitor and adjust credit exposure.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6" w:hRule="atLeast"/>
          <w:tblCellSpacing w:w="15" w:type="dxa"/>
        </w:trPr>
        <w:tc>
          <w:tcPr>
            <w:tcW w:w="23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5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Market Risk</w:t>
            </w:r>
          </w:p>
        </w:tc>
        <w:tc>
          <w:tcPr>
            <w:tcW w:w="21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Identify exposure to market fluctuations.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Assess economic and financial conditions.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Review asset and liability profiles.</w:t>
            </w:r>
          </w:p>
        </w:tc>
        <w:tc>
          <w:tcPr>
            <w:tcW w:w="173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Use market risk analytics.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Monitor financial markets and economic indicators.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Track performance of investments.</w:t>
            </w:r>
          </w:p>
        </w:tc>
        <w:tc>
          <w:tcPr>
            <w:tcW w:w="17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Use hedging strategies.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Diversify investments.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Set exposure limits and manage asset allocation.</w:t>
            </w:r>
          </w:p>
        </w:tc>
        <w:tc>
          <w:tcPr>
            <w:tcW w:w="17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Adjust investment strategies.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Implement risk mitigation actions.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Communicate with stakeholders about risks.</w:t>
            </w:r>
          </w:p>
        </w:tc>
        <w:tc>
          <w:tcPr>
            <w:tcW w:w="18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Rebalance portfolios.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Analyze losses and adjust strategies.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Implement measures to minimize future risk.</w:t>
            </w:r>
          </w:p>
        </w:tc>
        <w:tc>
          <w:tcPr>
            <w:tcW w:w="26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Develop a market risk management framework.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Regularly review market risk policies.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 Monitor market conditions and adjust strategies accordingly.</w:t>
            </w:r>
          </w:p>
        </w:tc>
      </w:tr>
    </w:tbl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mplified Arabic Fixed">
    <w:panose1 w:val="02070309020205020404"/>
    <w:charset w:val="00"/>
    <w:family w:val="auto"/>
    <w:pitch w:val="default"/>
    <w:sig w:usb0="00002003" w:usb1="00000000" w:usb2="00000008" w:usb3="00000000" w:csb0="00000041" w:csb1="2008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1E20B4"/>
    <w:rsid w:val="40DF7AFD"/>
    <w:rsid w:val="4C1E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2024-09-03T08:17:00Z</dcterms:created>
  <dc:creator>TOLIA</dc:creator>
  <cp:lastModifiedBy>TOLIA</cp:lastModifiedBy>
  <dcterms:modified xsi:type="dcterms:W3CDTF">2024-09-03T08:40:04Z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ECA53072391A4A42BB73FD0192FA3C8B_11</vt:lpwstr>
  </property>
</Properties>
</file>