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t>NIST CSF 2.0 Six Core Functions Mitigation for Assets</w:t>
      </w:r>
    </w:p>
    <w:tbl>
      <w:tblPr>
        <w:tblStyle w:val="style154"/>
        <w:tblW w:w="10371" w:type="dxa"/>
        <w:tblLook w:val="04A0" w:firstRow="1" w:lastRow="0" w:firstColumn="1" w:lastColumn="0" w:noHBand="0" w:noVBand="1"/>
      </w:tblPr>
      <w:tblGrid>
        <w:gridCol w:w="1259"/>
        <w:gridCol w:w="1622"/>
        <w:gridCol w:w="1675"/>
        <w:gridCol w:w="1621"/>
        <w:gridCol w:w="1574"/>
        <w:gridCol w:w="1287"/>
        <w:gridCol w:w="1512"/>
      </w:tblGrid>
      <w:tr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Asset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Identify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Protect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Detect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Respond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Recover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Govern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Customer Data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Inventory and classify data. Assess risks.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Implement data encryption and access controls.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for unauthorized access or breaches.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Develop and test incident response plan.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Backup customer data regularly. Test recovery processes.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Data protection policy. 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Network Systems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Identify network architecture and vulnerabilities.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Implement firewalls, intrusion prevention systems.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network traffic for anomalies.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Develop a network incident response strategy.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Restore network systems from backups.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Network security policy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Employee Accounts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Inventory employee accounts and access rights.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Enforce strong password policies and multi-factor authentication.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for unusual login patterns.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Respond to compromised accounts promptly.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Recover accounts and review access controls.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User account management policy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Financial Databases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Identify data classification and access levels.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Use encryption and limit access to authorized users.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Detect unauthorized access attempts.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Have a financial data breach response plan.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Restore financial databases from secure backups.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Database security policy. 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Online Banking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Assess security measures and risks for online platforms.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Implement secure transaction protocols and encryption.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for suspicious transaction patterns.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Have a response plan for online banking incidents.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Review and update online banking security measures.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Online banking security policy 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Mobile Banking Apps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Identify app vulnerabilities and risk factors.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Ensure apps are regularly updated and secure.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for app misuse and vulnerabilities.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Address mobile app security incidents.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Update apps and restore from secure versions.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Mobile banking security policy 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Cloud Storage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Identify types of data stored and assess cloud provider risks.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Implement encryption and access controls for cloud data.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cloud storage for access anomalies.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Develop a response plan for cloud storage incidents.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Restore data from cloud backups if needed.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Cloud security governance 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Third-Party Vendors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Assess third-party security practices and risks.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Ensure third-party agreements include security requirements.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third-party access and activities.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Respond to third-party breaches or incidents.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Review and update third-party security practices.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Third part risk management policy </w:t>
            </w:r>
          </w:p>
        </w:tc>
      </w:tr>
      <w:tr>
        <w:tblPrEx/>
        <w:trPr/>
        <w:tc>
          <w:tcPr>
            <w:tcW w:w="1259" w:type="dxa"/>
            <w:tcBorders/>
          </w:tcPr>
          <w:p>
            <w:pPr>
              <w:pStyle w:val="style0"/>
              <w:rPr/>
            </w:pPr>
            <w:r>
              <w:t>Encryption Keys</w:t>
            </w:r>
          </w:p>
        </w:tc>
        <w:tc>
          <w:tcPr>
            <w:tcW w:w="1622" w:type="dxa"/>
            <w:tcBorders/>
          </w:tcPr>
          <w:p>
            <w:pPr>
              <w:pStyle w:val="style0"/>
              <w:rPr/>
            </w:pPr>
            <w:r>
              <w:t>Inventory and manage encryption key lifecycle.</w:t>
            </w:r>
          </w:p>
        </w:tc>
        <w:tc>
          <w:tcPr>
            <w:tcW w:w="1675" w:type="dxa"/>
            <w:tcBorders/>
          </w:tcPr>
          <w:p>
            <w:pPr>
              <w:pStyle w:val="style0"/>
              <w:rPr/>
            </w:pPr>
            <w:r>
              <w:t>Protect keys with secure storage and access controls.</w:t>
            </w:r>
          </w:p>
        </w:tc>
        <w:tc>
          <w:tcPr>
            <w:tcW w:w="1621" w:type="dxa"/>
            <w:tcBorders/>
          </w:tcPr>
          <w:p>
            <w:pPr>
              <w:pStyle w:val="style0"/>
              <w:rPr/>
            </w:pPr>
            <w:r>
              <w:t>Monitor for unauthorized access to keys.</w:t>
            </w:r>
          </w:p>
        </w:tc>
        <w:tc>
          <w:tcPr>
            <w:tcW w:w="1574" w:type="dxa"/>
            <w:tcBorders/>
          </w:tcPr>
          <w:p>
            <w:pPr>
              <w:pStyle w:val="style0"/>
              <w:rPr/>
            </w:pPr>
            <w:r>
              <w:t>Have a plan for compromised encryption keys.</w:t>
            </w:r>
          </w:p>
        </w:tc>
        <w:tc>
          <w:tcPr>
            <w:tcW w:w="1287" w:type="dxa"/>
            <w:tcBorders/>
          </w:tcPr>
          <w:p>
            <w:pPr>
              <w:pStyle w:val="style0"/>
              <w:rPr/>
            </w:pPr>
            <w:r>
              <w:t>Rotate and securely store encryption keys.</w:t>
            </w:r>
          </w:p>
        </w:tc>
        <w:tc>
          <w:tcPr>
            <w:tcW w:w="133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Key management policy..</w:t>
            </w:r>
          </w:p>
        </w:tc>
      </w:tr>
    </w:tbl>
    <w:p/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321f2f9-999b-49d8-9f88-3977ae19fed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3b6fe17-4c0b-48a8-adbe-0eacdc68ff2d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e7d35e46-8dd9-41c0-9e0f-7db610b0ad7b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d8da9c6a-cb6e-4df8-b183-48a0722e074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1d1257c-861e-40b9-9bb3-d1df736b5b36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c84a17d9-adab-431e-a420-16ef94a76e5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29e08c0-414b-4e34-90b4-e4d1d1609f12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7669117-4bfe-4745-9bfb-8f5a72559430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4c9e708f-f9c3-4641-9669-aa76c15e0fd9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442b7a7c-90ba-430e-b822-25e862ea2ae8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184faf8d-5fc2-40ac-977c-810668d35776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558cb3e-03f7-4ef1-beb9-f8cce2e0e773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4b5cbe8-dbd1-4b98-bbf6-5c98e7666436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fa3c7a7-7974-44d3-8309-87b5c6e3aec6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350</Words>
  <Pages>1</Pages>
  <Characters>2307</Characters>
  <Application>WPS Office</Application>
  <DocSecurity>0</DocSecurity>
  <Paragraphs>82</Paragraphs>
  <ScaleCrop>false</ScaleCrop>
  <LinksUpToDate>false</LinksUpToDate>
  <CharactersWithSpaces>2592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2024-09-04T09:51:49Z</dcterms:created>
  <dc:creator>python-docx</dc:creator>
  <dc:description>generated by python-docx</dc:description>
  <lastModifiedBy>TECNO CI6</lastModifiedBy>
  <dcterms:modified xsi:type="dcterms:W3CDTF">2024-09-04T09:51:49Z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1383da68f9254062957b7276e41668f1</vt:lpwstr>
  </property>
</Properties>
</file>