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360"/>
        <w:ind w:right="-360" w:left="-360" w:firstLine="0"/>
        <w:jc w:val="left"/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  <w:t xml:space="preserve">Incident report analysis</w:t>
      </w:r>
    </w:p>
    <w:tbl>
      <w:tblPr/>
      <w:tblGrid>
        <w:gridCol w:w="2055"/>
        <w:gridCol w:w="8025"/>
      </w:tblGrid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company recently came under a DDoS attack, which compromised the internal network for about two hours untill it was resolved by the security team.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During the attack, the company’s network services suddenly stopped responding due to an incoming flood of ICMP packets. Normal internal network traffic could not access any network resources.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company’s cybersecurity team investigated the security breech. They found that a malicious actor had sent a flood of ICMP pings into the company’s network through an unconfigured firewall. This vulnerability allowed the malicious attacker to overwhelm the company’s network through a distributed denial of service (DDoS) attack. 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incident management team responded by blocking incoming ICMP packets, stopping all non-critical network services offline, and restoring critical network services.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network security team implemented the following measures: 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A new firewall rule to limit the rate of incoming ICMP packets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Source IP address verification on the firewall to check for spoofed IP addresses on incoming ICMP packets</w:t>
            </w:r>
          </w:p>
          <w:p>
            <w:pPr>
              <w:numPr>
                <w:ilvl w:val="0"/>
                <w:numId w:val="9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Network monitoring software to detect abnormal traffic patterns</w:t>
            </w:r>
          </w:p>
          <w:p>
            <w:pPr>
              <w:numPr>
                <w:ilvl w:val="0"/>
                <w:numId w:val="9"/>
              </w:numPr>
              <w:spacing w:before="0" w:after="160" w:line="36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An IDS/IPS system to filter out some ICMP traffic based on suspicious characteristics.</w:t>
            </w:r>
          </w:p>
        </w:tc>
      </w:tr>
      <w:tr>
        <w:trPr>
          <w:trHeight w:val="63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24"/>
                <w:shd w:fill="FFFFFF" w:val="clear"/>
              </w:rPr>
              <w:t xml:space="preserve">The company’s cybersecurity team then investigated the security event. They found that a malicious actor had sent a flood of ICMP pings into the company’s network through an unconfigured firewall. This vulnerability allowed the malicious attacker to overwhelm the company’s network through a distributed denial of service (DDoS) attack. 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security team responded by configuring the firewall in order to limit the amount of ICMP packets coming in and going out of the internal network.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staff were educated of the effects of ping flood as to the impacts it can have over the entire company’s services.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management was adequately informed of the incident and steps taken in order to contain it. It was recommended that periodic internal network audit must be in the day-to-day policy of the organization.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Recover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team will recover all services of the organization both critical and non-critical ones once the DDos attack had been contained. </w:t>
            </w:r>
          </w:p>
        </w:tc>
      </w:tr>
    </w:tbl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</w:tr>
    </w:tbl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