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07" w:rsidRDefault="00614F68">
      <w:pPr>
        <w:spacing w:before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</w:rPr>
      </w:pPr>
      <w:r>
        <w:rPr>
          <w:rFonts w:ascii="Google Sans" w:eastAsia="Google Sans" w:hAnsi="Google Sans" w:cs="Google Sans"/>
          <w:b/>
          <w:color w:val="3C4043"/>
          <w:sz w:val="40"/>
        </w:rPr>
        <w:t>Incident report analysis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7494"/>
      </w:tblGrid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Google Sans"/>
                <w:b/>
                <w:sz w:val="24"/>
                <w:szCs w:val="24"/>
              </w:rPr>
              <w:t>Summary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B148BC" w:rsidRPr="00C62441" w:rsidRDefault="00306984" w:rsidP="006967FC">
            <w:pPr>
              <w:rPr>
                <w:rFonts w:eastAsia="Arial"/>
                <w:shd w:val="clear" w:color="auto" w:fill="FFFFFF"/>
              </w:rPr>
            </w:pPr>
            <w:r w:rsidRPr="00C62441">
              <w:rPr>
                <w:rFonts w:eastAsia="Arial"/>
                <w:shd w:val="clear" w:color="auto" w:fill="FFFFFF"/>
              </w:rPr>
              <w:t>Our</w:t>
            </w:r>
            <w:r w:rsidR="00614F68">
              <w:rPr>
                <w:rFonts w:eastAsia="Arial"/>
                <w:shd w:val="clear" w:color="auto" w:fill="FFFFFF"/>
              </w:rPr>
              <w:t xml:space="preserve"> organization encountered a security breach by an unknown threat actor</w:t>
            </w:r>
            <w:bookmarkStart w:id="0" w:name="_GoBack"/>
            <w:bookmarkEnd w:id="0"/>
            <w:r w:rsidR="001E5854" w:rsidRPr="00C62441">
              <w:rPr>
                <w:rFonts w:eastAsia="Arial"/>
                <w:shd w:val="clear" w:color="auto" w:fill="FFFFFF"/>
              </w:rPr>
              <w:t>, which resulted in a compromise</w:t>
            </w:r>
            <w:r w:rsidR="00B148BC" w:rsidRPr="00C62441">
              <w:rPr>
                <w:rFonts w:eastAsia="Arial"/>
                <w:shd w:val="clear" w:color="auto" w:fill="FFFFFF"/>
              </w:rPr>
              <w:t xml:space="preserve"> of the internal networks for</w:t>
            </w:r>
            <w:r w:rsidR="001E5854" w:rsidRPr="00C62441">
              <w:rPr>
                <w:rFonts w:eastAsia="Arial"/>
                <w:shd w:val="clear" w:color="auto" w:fill="FFFFFF"/>
              </w:rPr>
              <w:t xml:space="preserve"> </w:t>
            </w:r>
            <w:r w:rsidR="008854B6" w:rsidRPr="00C62441">
              <w:rPr>
                <w:rFonts w:eastAsia="Arial"/>
                <w:shd w:val="clear" w:color="auto" w:fill="FFFFFF"/>
              </w:rPr>
              <w:t>duration of two hours.</w:t>
            </w:r>
          </w:p>
          <w:p w:rsidR="00B148BC" w:rsidRPr="00C62441" w:rsidRDefault="00306984" w:rsidP="006967FC">
            <w:pPr>
              <w:rPr>
                <w:rFonts w:eastAsia="Arial"/>
                <w:shd w:val="clear" w:color="auto" w:fill="FFFFFF"/>
              </w:rPr>
            </w:pPr>
            <w:r w:rsidRPr="00C62441">
              <w:rPr>
                <w:rFonts w:eastAsia="Arial"/>
                <w:shd w:val="clear" w:color="auto" w:fill="FFFFFF"/>
              </w:rPr>
              <w:t>During the attack, our organization’s</w:t>
            </w:r>
            <w:r w:rsidR="008854B6" w:rsidRPr="00C62441">
              <w:rPr>
                <w:rFonts w:eastAsia="Arial"/>
                <w:shd w:val="clear" w:color="auto" w:fill="FFFFFF"/>
              </w:rPr>
              <w:t xml:space="preserve"> network </w:t>
            </w:r>
            <w:r w:rsidRPr="00C62441">
              <w:rPr>
                <w:rFonts w:eastAsia="Arial"/>
                <w:shd w:val="clear" w:color="auto" w:fill="FFFFFF"/>
              </w:rPr>
              <w:t>exercised</w:t>
            </w:r>
            <w:r w:rsidR="008854B6" w:rsidRPr="00C62441">
              <w:rPr>
                <w:rFonts w:eastAsia="Arial"/>
                <w:shd w:val="clear" w:color="auto" w:fill="FFFFFF"/>
              </w:rPr>
              <w:t xml:space="preserve"> disturbances, such as the sudden unresponsiveness caused by an influx of ICMP packets, thereby overloading the network making it unable to handle legitimate </w:t>
            </w:r>
            <w:r w:rsidR="00B148BC" w:rsidRPr="00C62441">
              <w:rPr>
                <w:rFonts w:eastAsia="Arial"/>
                <w:shd w:val="clear" w:color="auto" w:fill="FFFFFF"/>
              </w:rPr>
              <w:t>traffic effectively.</w:t>
            </w:r>
          </w:p>
          <w:p w:rsidR="00E33007" w:rsidRPr="00C62441" w:rsidRDefault="001E5854" w:rsidP="006967FC">
            <w:pPr>
              <w:rPr>
                <w:rFonts w:eastAsia="Arial"/>
                <w:shd w:val="clear" w:color="auto" w:fill="FFFFFF"/>
              </w:rPr>
            </w:pPr>
            <w:r w:rsidRPr="00C62441">
              <w:rPr>
                <w:rFonts w:eastAsia="Arial"/>
                <w:shd w:val="clear" w:color="auto" w:fill="FFFFFF"/>
              </w:rPr>
              <w:t>The attack was successfully mitigated and resolved</w:t>
            </w:r>
            <w:r w:rsidR="00614F68" w:rsidRPr="00C62441">
              <w:rPr>
                <w:rFonts w:eastAsia="Arial"/>
                <w:shd w:val="clear" w:color="auto" w:fill="FFFFFF"/>
              </w:rPr>
              <w:t xml:space="preserve"> </w:t>
            </w:r>
          </w:p>
        </w:tc>
      </w:tr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Google Sans"/>
                <w:sz w:val="24"/>
                <w:szCs w:val="24"/>
              </w:rPr>
              <w:t>Identify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C62441" w:rsidRDefault="00306984" w:rsidP="006967FC">
            <w:pPr>
              <w:rPr>
                <w:rFonts w:eastAsia="Arial"/>
                <w:shd w:val="clear" w:color="auto" w:fill="FFFFFF"/>
              </w:rPr>
            </w:pPr>
            <w:r w:rsidRPr="00C62441">
              <w:rPr>
                <w:rFonts w:eastAsia="Arial"/>
                <w:shd w:val="clear" w:color="auto" w:fill="FFFFFF"/>
              </w:rPr>
              <w:t>Our company’s incident management team promptly conducted an investigation into the security event</w:t>
            </w:r>
            <w:r w:rsidR="00255C07" w:rsidRPr="00C62441">
              <w:rPr>
                <w:rFonts w:eastAsia="Arial"/>
                <w:shd w:val="clear" w:color="auto" w:fill="FFFFFF"/>
              </w:rPr>
              <w:t>. During our analysis, we discovered that a malicious actor had deliberately inundated the company’s network with barrage of ICMP pings.</w:t>
            </w:r>
          </w:p>
          <w:p w:rsidR="00255C07" w:rsidRDefault="00255C07" w:rsidP="006967FC">
            <w:r w:rsidRPr="00C62441">
              <w:rPr>
                <w:rFonts w:eastAsia="Arial"/>
                <w:shd w:val="clear" w:color="auto" w:fill="FFFFFF"/>
              </w:rPr>
              <w:t>This exploit was made possible due to an un-configured firewall, which provided an entry point for the attacker. Consequently, the malicious actor was able to successfully overwhelm our network through a Distributed Denial of Service (</w:t>
            </w:r>
            <w:proofErr w:type="spellStart"/>
            <w:r w:rsidRPr="00C62441">
              <w:rPr>
                <w:rFonts w:eastAsia="Arial"/>
                <w:shd w:val="clear" w:color="auto" w:fill="FFFFFF"/>
              </w:rPr>
              <w:t>DDos</w:t>
            </w:r>
            <w:proofErr w:type="spellEnd"/>
            <w:r w:rsidRPr="00C62441">
              <w:rPr>
                <w:rFonts w:eastAsia="Arial"/>
                <w:shd w:val="clear" w:color="auto" w:fill="FFFFFF"/>
              </w:rPr>
              <w:t>) attack</w:t>
            </w:r>
          </w:p>
        </w:tc>
      </w:tr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Google Sans"/>
                <w:sz w:val="24"/>
                <w:szCs w:val="24"/>
              </w:rPr>
              <w:t>Protect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6967FC" w:rsidRDefault="00101069" w:rsidP="006967FC">
            <w:pPr>
              <w:rPr>
                <w:rFonts w:eastAsia="Arial"/>
                <w:color w:val="1F1F1F"/>
                <w:shd w:val="clear" w:color="auto" w:fill="FFFFFF"/>
              </w:rPr>
            </w:pPr>
            <w:r w:rsidRPr="006967FC">
              <w:t>Our team successfully implemented a new procedure to effectively protect the company’s network infrastructure against similar attack in the future. This includes the implementation of a new firewall rule that restricts the rate of incoming ICMP packets. This mea</w:t>
            </w:r>
            <w:r w:rsidR="006967FC" w:rsidRPr="006967FC">
              <w:t>sure will significantly enhance</w:t>
            </w:r>
            <w:r w:rsidRPr="006967FC">
              <w:t xml:space="preserve"> the security of network infrastructure and greatly reduces the risk of potential attacks</w:t>
            </w:r>
            <w:r w:rsidR="00742F1C" w:rsidRPr="006967FC">
              <w:t>. We are confident that this proactive approach will ensure the utmost protection and provide a solid foundation for a secure and resilient network environment</w:t>
            </w:r>
            <w:r w:rsidR="00742F1C" w:rsidRPr="006967FC">
              <w:rPr>
                <w:rFonts w:eastAsia="Arial"/>
                <w:color w:val="1F1F1F"/>
                <w:shd w:val="clear" w:color="auto" w:fill="FFFFFF"/>
              </w:rPr>
              <w:t>.</w:t>
            </w:r>
          </w:p>
        </w:tc>
      </w:tr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Google Sans"/>
                <w:sz w:val="24"/>
                <w:szCs w:val="24"/>
              </w:rPr>
              <w:t>Detect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C62441" w:rsidRDefault="00361AC5" w:rsidP="00C62441">
            <w:pP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C62441">
              <w:rPr>
                <w:sz w:val="24"/>
                <w:szCs w:val="24"/>
              </w:rPr>
              <w:t xml:space="preserve">To proactively detect such occurrence in the future, the team will implement a security solution combining </w:t>
            </w:r>
            <w:proofErr w:type="gramStart"/>
            <w:r w:rsidRPr="00C62441">
              <w:rPr>
                <w:sz w:val="24"/>
                <w:szCs w:val="24"/>
              </w:rPr>
              <w:t>a source</w:t>
            </w:r>
            <w:proofErr w:type="gramEnd"/>
            <w:r w:rsidRPr="00C62441">
              <w:rPr>
                <w:sz w:val="24"/>
                <w:szCs w:val="24"/>
              </w:rPr>
              <w:t xml:space="preserve"> IP address verification on the firewall to check for spoofed IP addresses on incoming ICMP packets with network monitoring software to detect</w:t>
            </w:r>
            <w:r w:rsidR="00C62441" w:rsidRPr="00C62441">
              <w:rPr>
                <w:sz w:val="24"/>
                <w:szCs w:val="24"/>
              </w:rPr>
              <w:t xml:space="preserve"> abnormal traffic patterns.</w:t>
            </w:r>
            <w:r w:rsidR="00C62441">
              <w:rPr>
                <w:sz w:val="24"/>
                <w:szCs w:val="24"/>
              </w:rPr>
              <w:t xml:space="preserve"> </w:t>
            </w:r>
            <w:r w:rsidR="00C62441" w:rsidRPr="006967FC">
              <w:t>Furthermore, an IDS/IPS system to filter out some ICMP traffic based on suspicious characteristics was installed.</w:t>
            </w:r>
          </w:p>
        </w:tc>
      </w:tr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Google Sans"/>
                <w:sz w:val="24"/>
                <w:szCs w:val="24"/>
              </w:rPr>
              <w:t>Respond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F5FE5" w:rsidRDefault="003F5FE5" w:rsidP="006967FC">
            <w:pPr>
              <w:rPr>
                <w:rFonts w:eastAsia="Google Sans"/>
              </w:rPr>
            </w:pPr>
            <w:r w:rsidRPr="003F5FE5">
              <w:rPr>
                <w:rFonts w:eastAsia="Google Sans"/>
              </w:rPr>
              <w:t>The team responded with varieties of measures which include the aforementioned procedures in detect column</w:t>
            </w:r>
            <w:r w:rsidR="006967FC">
              <w:rPr>
                <w:rFonts w:eastAsia="Google Sans"/>
              </w:rPr>
              <w:t xml:space="preserve"> above</w:t>
            </w:r>
            <w:r w:rsidRPr="003F5FE5">
              <w:rPr>
                <w:rFonts w:eastAsia="Google Sans"/>
              </w:rPr>
              <w:t>.</w:t>
            </w:r>
            <w:r w:rsidR="00614F68" w:rsidRPr="003F5FE5">
              <w:rPr>
                <w:rFonts w:eastAsia="Google Sans"/>
              </w:rPr>
              <w:t xml:space="preserve"> </w:t>
            </w:r>
          </w:p>
          <w:p w:rsidR="00E33007" w:rsidRDefault="003F5FE5" w:rsidP="006967FC">
            <w:r w:rsidRPr="003F5FE5">
              <w:rPr>
                <w:rFonts w:eastAsia="Google Sans"/>
              </w:rPr>
              <w:t>The top</w:t>
            </w:r>
            <w:r w:rsidR="00614F68" w:rsidRPr="003F5FE5">
              <w:rPr>
                <w:rFonts w:eastAsia="Google Sans"/>
              </w:rPr>
              <w:t xml:space="preserve"> management was adequately informed of the incident and steps taken in order to contain it. It was recommended</w:t>
            </w:r>
            <w:r w:rsidRPr="003F5FE5">
              <w:rPr>
                <w:rFonts w:eastAsia="Google Sans"/>
              </w:rPr>
              <w:t xml:space="preserve"> to the management</w:t>
            </w:r>
            <w:r w:rsidR="00614F68" w:rsidRPr="003F5FE5">
              <w:rPr>
                <w:rFonts w:eastAsia="Google Sans"/>
              </w:rPr>
              <w:t xml:space="preserve"> that periodic i</w:t>
            </w:r>
            <w:r w:rsidRPr="003F5FE5">
              <w:rPr>
                <w:rFonts w:eastAsia="Google Sans"/>
              </w:rPr>
              <w:t xml:space="preserve">nternal network audit must </w:t>
            </w:r>
            <w:r w:rsidR="006967FC">
              <w:rPr>
                <w:rFonts w:eastAsia="Google Sans"/>
              </w:rPr>
              <w:t>be a</w:t>
            </w:r>
            <w:r w:rsidRPr="003F5FE5">
              <w:rPr>
                <w:rFonts w:eastAsia="Google Sans"/>
              </w:rPr>
              <w:t xml:space="preserve"> day-to-day basis</w:t>
            </w:r>
            <w:r w:rsidR="006967FC">
              <w:rPr>
                <w:rFonts w:eastAsia="Google Sans"/>
              </w:rPr>
              <w:t xml:space="preserve"> for</w:t>
            </w:r>
            <w:r w:rsidR="00614F68" w:rsidRPr="003F5FE5">
              <w:rPr>
                <w:rFonts w:eastAsia="Google Sans"/>
              </w:rPr>
              <w:t xml:space="preserve"> the organization.</w:t>
            </w:r>
            <w:r w:rsidRPr="003F5FE5">
              <w:rPr>
                <w:rFonts w:eastAsia="Google Sans"/>
              </w:rPr>
              <w:t xml:space="preserve"> The </w:t>
            </w:r>
            <w:r w:rsidRPr="003F5FE5">
              <w:rPr>
                <w:rFonts w:eastAsia="Google Sans"/>
              </w:rPr>
              <w:lastRenderedPageBreak/>
              <w:t>management must ensure that the incident is reported to the necessary regulatory and law enforcement agency.</w:t>
            </w:r>
          </w:p>
        </w:tc>
      </w:tr>
      <w:tr w:rsidR="00E33007" w:rsidTr="006967FC">
        <w:tblPrEx>
          <w:tblCellMar>
            <w:top w:w="0" w:type="dxa"/>
            <w:bottom w:w="0" w:type="dxa"/>
          </w:tblCellMar>
        </w:tblPrEx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614F68">
            <w:pPr>
              <w:spacing w:after="0" w:line="360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33BE9">
              <w:rPr>
                <w:rFonts w:ascii="Arial Black" w:eastAsia="Google Sans" w:hAnsi="Arial Black" w:cs="Times New Roman"/>
                <w:b/>
                <w:sz w:val="24"/>
                <w:szCs w:val="24"/>
              </w:rPr>
              <w:lastRenderedPageBreak/>
              <w:t>Recover</w:t>
            </w:r>
          </w:p>
        </w:tc>
        <w:tc>
          <w:tcPr>
            <w:tcW w:w="7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6967FC" w:rsidRDefault="006967FC" w:rsidP="00333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Google Sans"/>
              </w:rPr>
              <w:t>By</w:t>
            </w:r>
            <w:r w:rsidR="00333BE9">
              <w:rPr>
                <w:rFonts w:eastAsia="Google Sans"/>
              </w:rPr>
              <w:t xml:space="preserve"> blocking incoming ICMP packets and</w:t>
            </w:r>
            <w:r>
              <w:rPr>
                <w:rFonts w:eastAsia="Google Sans"/>
              </w:rPr>
              <w:t xml:space="preserve"> stopping all non-critical network</w:t>
            </w:r>
            <w:r w:rsidR="00333BE9">
              <w:rPr>
                <w:rFonts w:eastAsia="Google Sans"/>
              </w:rPr>
              <w:t xml:space="preserve"> services offline, the</w:t>
            </w:r>
            <w:r>
              <w:rPr>
                <w:rFonts w:eastAsia="Google Sans"/>
              </w:rPr>
              <w:t xml:space="preserve"> critical network services</w:t>
            </w:r>
            <w:r w:rsidR="00333BE9">
              <w:rPr>
                <w:rFonts w:eastAsia="Google Sans"/>
              </w:rPr>
              <w:t xml:space="preserve"> was fully restored and recovered</w:t>
            </w:r>
          </w:p>
        </w:tc>
      </w:tr>
    </w:tbl>
    <w:p w:rsidR="00E33007" w:rsidRDefault="006967FC" w:rsidP="006967FC">
      <w:pPr>
        <w:spacing w:line="360" w:lineRule="auto"/>
        <w:ind w:right="-360"/>
        <w:rPr>
          <w:rFonts w:ascii="Google Sans" w:eastAsia="Google Sans" w:hAnsi="Google Sans" w:cs="Google Sans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0"/>
      </w:tblGrid>
      <w:tr w:rsidR="00E33007" w:rsidTr="00361A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33007" w:rsidRPr="00333BE9" w:rsidRDefault="00333BE9">
            <w:pPr>
              <w:spacing w:after="0" w:line="240" w:lineRule="auto"/>
              <w:rPr>
                <w:rFonts w:ascii="Arial Black" w:eastAsia="Calibri" w:hAnsi="Arial Black" w:cs="Calibri"/>
                <w:sz w:val="24"/>
                <w:szCs w:val="24"/>
              </w:rPr>
            </w:pPr>
            <w:r w:rsidRPr="00333BE9">
              <w:rPr>
                <w:rFonts w:ascii="Arial Black" w:eastAsia="Calibri" w:hAnsi="Arial Black" w:cs="Calibri"/>
                <w:sz w:val="24"/>
                <w:szCs w:val="24"/>
              </w:rPr>
              <w:t>Reflections/Notes</w:t>
            </w:r>
          </w:p>
        </w:tc>
      </w:tr>
    </w:tbl>
    <w:p w:rsidR="00E33007" w:rsidRDefault="00E33007" w:rsidP="00C62441">
      <w:pPr>
        <w:spacing w:after="0" w:line="360" w:lineRule="auto"/>
        <w:ind w:right="-360"/>
        <w:rPr>
          <w:rFonts w:ascii="Google Sans" w:eastAsia="Google Sans" w:hAnsi="Google Sans" w:cs="Google Sans"/>
        </w:rPr>
      </w:pPr>
    </w:p>
    <w:sectPr w:rsidR="00E3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75B4"/>
    <w:multiLevelType w:val="multilevel"/>
    <w:tmpl w:val="801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A35D34"/>
    <w:multiLevelType w:val="multilevel"/>
    <w:tmpl w:val="DC484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2D64D4"/>
    <w:multiLevelType w:val="multilevel"/>
    <w:tmpl w:val="C6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3007"/>
    <w:rsid w:val="00101069"/>
    <w:rsid w:val="001E5854"/>
    <w:rsid w:val="00255C07"/>
    <w:rsid w:val="00306984"/>
    <w:rsid w:val="00333BE9"/>
    <w:rsid w:val="00361AC5"/>
    <w:rsid w:val="003F5FE5"/>
    <w:rsid w:val="00614F68"/>
    <w:rsid w:val="006967FC"/>
    <w:rsid w:val="00742F1C"/>
    <w:rsid w:val="008854B6"/>
    <w:rsid w:val="00B148BC"/>
    <w:rsid w:val="00C62441"/>
    <w:rsid w:val="00E33007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F1C"/>
    <w:rPr>
      <w:b/>
      <w:bCs/>
    </w:rPr>
  </w:style>
  <w:style w:type="paragraph" w:styleId="NormalWeb">
    <w:name w:val="Normal (Web)"/>
    <w:basedOn w:val="Normal"/>
    <w:uiPriority w:val="99"/>
    <w:unhideWhenUsed/>
    <w:rsid w:val="0036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RICHNESS</dc:creator>
  <cp:lastModifiedBy>RICHNESS</cp:lastModifiedBy>
  <cp:revision>3</cp:revision>
  <dcterms:created xsi:type="dcterms:W3CDTF">2024-02-14T09:46:00Z</dcterms:created>
  <dcterms:modified xsi:type="dcterms:W3CDTF">2024-02-14T09:49:00Z</dcterms:modified>
</cp:coreProperties>
</file>