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&amp; Financial Proposal</w:t>
      </w:r>
    </w:p>
    <w:p>
      <w:pPr>
        <w:jc w:val="center"/>
      </w:pPr>
      <w:r>
        <w:rPr>
          <w:b/>
          <w:sz w:val="24"/>
        </w:rPr>
        <w:t>Website &amp; Integrated Platform for Programmes, Registration, Admissions, Examinations &amp; Payments</w:t>
      </w:r>
    </w:p>
    <w:p/>
    <w:p>
      <w:pPr>
        <w:jc w:val="center"/>
      </w:pPr>
      <w:r>
        <w:t>Prepared for: Leadway College of Advanced Studies Limited</w:t>
        <w:br/>
      </w:r>
      <w:r>
        <w:t>(formerly Leadway Educational Consults)</w:t>
        <w:br/>
      </w:r>
      <w:r>
        <w:t>Prepared by: Hyperion Tech Hub</w:t>
        <w:br/>
      </w:r>
      <w:r>
        <w:t>Date: 10 May 2026</w:t>
        <w:br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Hyperion Tech Hub proposes an end-to-end digital platform aligned with your focus on IJMB, JAMB, WAEC, NECO lessons and related services. The solution replaces ad-hoc forms and manual tracking with a single system: a modern public website, secure student/parent portals, staff dashboards, structured admissions and exams, and online/offline-capable payments suitable for the Nigerian market.</w:t>
      </w:r>
    </w:p>
    <w:p>
      <w:r>
        <w:t>References: https://leadwayeducation.wixsite.com/leadway/ ; https://web.facebook.com/p/Leadway-Education-Consult-61555663662917/</w:t>
      </w:r>
    </w:p>
    <w:p>
      <w:pPr>
        <w:pStyle w:val="Heading1"/>
      </w:pPr>
      <w:r>
        <w:t>2. Understanding of your business</w:t>
      </w:r>
    </w:p>
    <w:p>
      <w:r>
        <w:t>From public information, Leadway offers tutoring and exam preparation, emphasises personalised learning, and serves families in the Abuja/FCT area with multiple contact channels. The proposed system supports that positioning while scaling operations (more cohorts, branches, or online students) without proportional administrative overhead.</w:t>
      </w:r>
    </w:p>
    <w:p>
      <w:pPr>
        <w:pStyle w:val="Heading1"/>
      </w:pPr>
      <w:r>
        <w:t>3.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Professional brand presence</w:t>
            </w:r>
          </w:p>
        </w:tc>
        <w:tc>
          <w:tcPr>
            <w:tcW w:type="dxa" w:w="4320"/>
          </w:tcPr>
          <w:p>
            <w:r>
              <w:t>Fast, credible website with clear programme pages, FAQs, and lead capture.</w:t>
            </w:r>
          </w:p>
        </w:tc>
      </w:tr>
      <w:tr>
        <w:tc>
          <w:tcPr>
            <w:tcW w:type="dxa" w:w="4320"/>
          </w:tcPr>
          <w:p>
            <w:r>
              <w:t>Programme management</w:t>
            </w:r>
          </w:p>
        </w:tc>
        <w:tc>
          <w:tcPr>
            <w:tcW w:type="dxa" w:w="4320"/>
          </w:tcPr>
          <w:p>
            <w:r>
              <w:t>Define tracks (e.g. IJMB, JAMB, WAEC, NECO), batches, timetables, and fees in one place.</w:t>
            </w:r>
          </w:p>
        </w:tc>
      </w:tr>
      <w:tr>
        <w:tc>
          <w:tcPr>
            <w:tcW w:type="dxa" w:w="4320"/>
          </w:tcPr>
          <w:p>
            <w:r>
              <w:t>Registration &amp; admissions</w:t>
            </w:r>
          </w:p>
        </w:tc>
        <w:tc>
          <w:tcPr>
            <w:tcW w:type="dxa" w:w="4320"/>
          </w:tcPr>
          <w:p>
            <w:r>
              <w:t>Online applications, document upload, status workflow, and communication.</w:t>
            </w:r>
          </w:p>
        </w:tc>
      </w:tr>
      <w:tr>
        <w:tc>
          <w:tcPr>
            <w:tcW w:type="dxa" w:w="4320"/>
          </w:tcPr>
          <w:p>
            <w:r>
              <w:t>Examinations &amp; academics</w:t>
            </w:r>
          </w:p>
        </w:tc>
        <w:tc>
          <w:tcPr>
            <w:tcW w:type="dxa" w:w="4320"/>
          </w:tcPr>
          <w:p>
            <w:r>
              <w:t>Schedules, attendance (where applicable), mock tests, results, and basic reporting.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Invoicing, part-payments, receipts, reconciliation, and integration with major Nigerian gateways.</w:t>
            </w:r>
          </w:p>
        </w:tc>
      </w:tr>
      <w:tr>
        <w:tc>
          <w:tcPr>
            <w:tcW w:type="dxa" w:w="4320"/>
          </w:tcPr>
          <w:p>
            <w:r>
              <w:t>Compliance &amp; trust</w:t>
            </w:r>
          </w:p>
        </w:tc>
        <w:tc>
          <w:tcPr>
            <w:tcW w:type="dxa" w:w="4320"/>
          </w:tcPr>
          <w:p>
            <w:r>
              <w:t>Role-based access, audit logs, backups, and privacy-conscious handling of student data.</w:t>
            </w:r>
          </w:p>
        </w:tc>
      </w:tr>
    </w:tbl>
    <w:p>
      <w:pPr>
        <w:pStyle w:val="Heading1"/>
      </w:pPr>
      <w:r>
        <w:t>4. Proposed solution architecture (high level)</w:t>
      </w:r>
    </w:p>
    <w:p>
      <w:pPr>
        <w:pStyle w:val="Heading2"/>
      </w:pPr>
      <w:r>
        <w:t>4.1 Channels</w:t>
      </w:r>
    </w:p>
    <w:p>
      <w:pPr>
        <w:pStyle w:val="ListBullet"/>
      </w:pPr>
      <w:r>
        <w:t>Marketing website: SEO-friendly pages, programme detail, testimonials, blog/news, contact, and Apply/Register entry points.</w:t>
      </w:r>
    </w:p>
    <w:p>
      <w:pPr>
        <w:pStyle w:val="ListBullet"/>
      </w:pPr>
      <w:r>
        <w:t>Web application (responsive): Full functionality for applicants, students, parents/guardians, tutors, and administrators on modern browsers.</w:t>
      </w:r>
    </w:p>
    <w:p>
      <w:pPr>
        <w:pStyle w:val="ListBullet"/>
      </w:pPr>
      <w:r>
        <w:t>Mobile: Progressive Web App (PWA) for lower cost and single codebase, installable on phones; or native iOS/Android apps for richer offline/push features. Phase 1 typically starts with PWA.</w:t>
      </w:r>
    </w:p>
    <w:p>
      <w:pPr>
        <w:pStyle w:val="Heading2"/>
      </w:pPr>
      <w:r>
        <w:t>4.2 Core modules</w:t>
      </w:r>
    </w:p>
    <w:p>
      <w:pPr>
        <w:pStyle w:val="ListNumber"/>
      </w:pPr>
      <w:r>
        <w:t>Identity &amp; access — Accounts, roles (super admin, registrar, finance, tutor, student, parent), optional two-factor for staff.</w:t>
      </w:r>
    </w:p>
    <w:p>
      <w:pPr>
        <w:pStyle w:val="ListNumber"/>
      </w:pPr>
      <w:r>
        <w:t>Programmes &amp; catalog — Programmes, levels, subjects, fee structures, discounts, instalments.</w:t>
      </w:r>
    </w:p>
    <w:p>
      <w:pPr>
        <w:pStyle w:val="ListNumber"/>
      </w:pPr>
      <w:r>
        <w:t>Registration &amp; admissions — Multi-step forms, file uploads (credentials), application fees, pipeline statuses (submitted → review → offer → enrolled).</w:t>
      </w:r>
    </w:p>
    <w:p>
      <w:pPr>
        <w:pStyle w:val="ListNumber"/>
      </w:pPr>
      <w:r>
        <w:t>Enrolment &amp; classes — Cohorts, batches, timetable, room/online links, tutor assignment.</w:t>
      </w:r>
    </w:p>
    <w:p>
      <w:pPr>
        <w:pStyle w:val="ListNumber"/>
      </w:pPr>
      <w:r>
        <w:t>Exams &amp; assessment — Exam calendar, question banks (optional), online quizzes or paper-based result entry, transcripts/report cards (scope-dependent).</w:t>
      </w:r>
    </w:p>
    <w:p>
      <w:pPr>
        <w:pStyle w:val="ListNumber"/>
      </w:pPr>
      <w:r>
        <w:t>Payments — Paystack/Flutterwave (or agreed provider), webhooks for automatic confirmation, invoices, refunds workflow (policy-driven).</w:t>
      </w:r>
    </w:p>
    <w:p>
      <w:pPr>
        <w:pStyle w:val="ListNumber"/>
      </w:pPr>
      <w:r>
        <w:t>Notifications — Email; optional SMS/WhatsApp Business API for reminders and payment alerts.</w:t>
      </w:r>
    </w:p>
    <w:p>
      <w:pPr>
        <w:pStyle w:val="ListNumber"/>
      </w:pPr>
      <w:r>
        <w:t>Reporting — Revenue by programme, outstanding fees, admission funnel, exam performance summaries.</w:t>
      </w:r>
    </w:p>
    <w:p>
      <w:pPr>
        <w:pStyle w:val="Heading2"/>
      </w:pPr>
      <w:r>
        <w:t>4.3 Technical approach (illustrative)</w:t>
      </w:r>
    </w:p>
    <w:p>
      <w:r>
        <w:t>Frontend: React or Next.js. Backend: Node.js or Laravel (final choice follows team expertise). Database: PostgreSQL or MySQL with regular encrypted backups. Hosting: managed cloud with staging and production. Security: HTTPS, OWASP-aligned practices, least-privilege access, encrypted sensitive fields where appropriate. Exact stack confirmed in a short discovery workshop.</w:t>
      </w:r>
    </w:p>
    <w:p>
      <w:pPr>
        <w:pStyle w:val="Heading1"/>
      </w:pPr>
      <w:r>
        <w:t>5. Implementation phases &amp; timeline (indicative)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Duration (indicative)</w:t>
            </w:r>
          </w:p>
        </w:tc>
      </w:tr>
      <w:tr>
        <w:tc>
          <w:tcPr>
            <w:tcW w:type="dxa" w:w="2880"/>
          </w:tcPr>
          <w:p>
            <w:r>
              <w:t>Discovery &amp; UX</w:t>
            </w:r>
          </w:p>
        </w:tc>
        <w:tc>
          <w:tcPr>
            <w:tcW w:type="dxa" w:w="2880"/>
          </w:tcPr>
          <w:p>
            <w:r>
              <w:t>Workflows, roles, data model, wireframes, brand alignment</w:t>
            </w:r>
          </w:p>
        </w:tc>
        <w:tc>
          <w:tcPr>
            <w:tcW w:type="dxa" w:w="2880"/>
          </w:tcPr>
          <w:p>
            <w:r>
              <w:t>2–3 weeks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Website + auth + programmes + online registration + payments + admin dashboard</w:t>
            </w:r>
          </w:p>
        </w:tc>
        <w:tc>
          <w:tcPr>
            <w:tcW w:type="dxa" w:w="2880"/>
          </w:tcPr>
          <w:p>
            <w:r>
              <w:t>8–12 weeks</w:t>
            </w:r>
          </w:p>
        </w:tc>
      </w:tr>
      <w:tr>
        <w:tc>
          <w:tcPr>
            <w:tcW w:type="dxa" w:w="2880"/>
          </w:tcPr>
          <w:p>
            <w:r>
              <w:t>Admissions depth</w:t>
            </w:r>
          </w:p>
        </w:tc>
        <w:tc>
          <w:tcPr>
            <w:tcW w:type="dxa" w:w="2880"/>
          </w:tcPr>
          <w:p>
            <w:r>
              <w:t>Document verification workflow, offers, contracts/digital acceptance</w:t>
            </w:r>
          </w:p>
        </w:tc>
        <w:tc>
          <w:tcPr>
            <w:tcW w:type="dxa" w:w="2880"/>
          </w:tcPr>
          <w:p>
            <w:r>
              <w:t>3–5 weeks</w:t>
            </w:r>
          </w:p>
        </w:tc>
      </w:tr>
      <w:tr>
        <w:tc>
          <w:tcPr>
            <w:tcW w:type="dxa" w:w="2880"/>
          </w:tcPr>
          <w:p>
            <w:r>
              <w:t>Exams &amp; academics</w:t>
            </w:r>
          </w:p>
        </w:tc>
        <w:tc>
          <w:tcPr>
            <w:tcW w:type="dxa" w:w="2880"/>
          </w:tcPr>
          <w:p>
            <w:r>
              <w:t>Scheduling, results entry, parent/student views</w:t>
            </w:r>
          </w:p>
        </w:tc>
        <w:tc>
          <w:tcPr>
            <w:tcW w:type="dxa" w:w="2880"/>
          </w:tcPr>
          <w:p>
            <w:r>
              <w:t>4–8 weeks</w:t>
            </w:r>
          </w:p>
        </w:tc>
      </w:tr>
      <w:tr>
        <w:tc>
          <w:tcPr>
            <w:tcW w:type="dxa" w:w="2880"/>
          </w:tcPr>
          <w:p>
            <w:r>
              <w:t>Hardening &amp; launch</w:t>
            </w:r>
          </w:p>
        </w:tc>
        <w:tc>
          <w:tcPr>
            <w:tcW w:type="dxa" w:w="2880"/>
          </w:tcPr>
          <w:p>
            <w:r>
              <w:t>UAT, performance, training, go-live, hypercare</w:t>
            </w:r>
          </w:p>
        </w:tc>
        <w:tc>
          <w:tcPr>
            <w:tcW w:type="dxa" w:w="2880"/>
          </w:tcPr>
          <w:p>
            <w:r>
              <w:t>2–3 weeks</w:t>
            </w:r>
          </w:p>
        </w:tc>
      </w:tr>
    </w:tbl>
    <w:p>
      <w:r>
        <w:t>Total (typical): approximately 4–6 months from kickoff to full feature set, with an earlier MVP launch (~3 months) if registration and payments are prioritised first.</w:t>
      </w:r>
    </w:p>
    <w:p>
      <w:pPr>
        <w:pStyle w:val="Heading1"/>
      </w:pPr>
      <w:r>
        <w:t>6. Deliverables</w:t>
      </w:r>
    </w:p>
    <w:p>
      <w:pPr>
        <w:pStyle w:val="ListBullet"/>
      </w:pPr>
      <w:r>
        <w:t>Production website and web app (and PWA or native apps per agreement).</w:t>
      </w:r>
    </w:p>
    <w:p>
      <w:pPr>
        <w:pStyle w:val="ListBullet"/>
      </w:pPr>
      <w:r>
        <w:t>Administrator and role-based documentation (user guides).</w:t>
      </w:r>
    </w:p>
    <w:p>
      <w:pPr>
        <w:pStyle w:val="ListBullet"/>
      </w:pPr>
      <w:r>
        <w:t>Source code ownership transfer or escrow per contract.</w:t>
      </w:r>
    </w:p>
    <w:p>
      <w:pPr>
        <w:pStyle w:val="ListBullet"/>
      </w:pPr>
      <w:r>
        <w:t>Deployment runbooks, backup, and monitoring baseline.</w:t>
      </w:r>
    </w:p>
    <w:p>
      <w:pPr>
        <w:pStyle w:val="ListBullet"/>
      </w:pPr>
      <w:r>
        <w:t>Training session(s) for staff.</w:t>
      </w:r>
    </w:p>
    <w:p>
      <w:pPr>
        <w:pStyle w:val="ListBullet"/>
      </w:pPr>
      <w:r>
        <w:t>Warranty period (e.g. 30–90 days) for defect fixes on agreed scope.</w:t>
      </w:r>
    </w:p>
    <w:p>
      <w:pPr>
        <w:pStyle w:val="Heading1"/>
      </w:pPr>
      <w:r>
        <w:t>7. Financial proposal (indicative — NGN)</w:t>
      </w:r>
    </w:p>
    <w:p>
      <w:r>
        <w:t>Figures are order-of-magnitude estimates for a Nigerian education SME; final pricing follows discovery (user volumes, exam complexity, integrations, and design depth).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What’s included</w:t>
            </w:r>
          </w:p>
        </w:tc>
        <w:tc>
          <w:tcPr>
            <w:tcW w:type="dxa" w:w="2880"/>
          </w:tcPr>
          <w:p>
            <w:r>
              <w:t>Indicative investment (NGN)</w:t>
            </w:r>
          </w:p>
        </w:tc>
      </w:tr>
      <w:tr>
        <w:tc>
          <w:tcPr>
            <w:tcW w:type="dxa" w:w="2880"/>
          </w:tcPr>
          <w:p>
            <w:r>
              <w:t>A — Foundation</w:t>
            </w:r>
          </w:p>
        </w:tc>
        <w:tc>
          <w:tcPr>
            <w:tcW w:type="dxa" w:w="2880"/>
          </w:tcPr>
          <w:p>
            <w:r>
              <w:t>New website + programme pages + contact/leads + basic admin CMS + 1 payment integration + hosting setup guidance</w:t>
            </w:r>
          </w:p>
        </w:tc>
        <w:tc>
          <w:tcPr>
            <w:tcW w:type="dxa" w:w="2880"/>
          </w:tcPr>
          <w:p>
            <w:r>
              <w:t>₦2.5M – ₦5.0M</w:t>
            </w:r>
          </w:p>
        </w:tc>
      </w:tr>
      <w:tr>
        <w:tc>
          <w:tcPr>
            <w:tcW w:type="dxa" w:w="2880"/>
          </w:tcPr>
          <w:p>
            <w:r>
              <w:t>B — Operations (recommended)</w:t>
            </w:r>
          </w:p>
        </w:tc>
        <w:tc>
          <w:tcPr>
            <w:tcW w:type="dxa" w:w="2880"/>
          </w:tcPr>
          <w:p>
            <w:r>
              <w:t>Foundation + full registration/admissions workflow + student/parent portals + finance dashboard + notifications (email; optional SMS budget separate)</w:t>
            </w:r>
          </w:p>
        </w:tc>
        <w:tc>
          <w:tcPr>
            <w:tcW w:type="dxa" w:w="2880"/>
          </w:tcPr>
          <w:p>
            <w:r>
              <w:t>₦6.0M – ₦12.0M</w:t>
            </w:r>
          </w:p>
        </w:tc>
      </w:tr>
      <w:tr>
        <w:tc>
          <w:tcPr>
            <w:tcW w:type="dxa" w:w="2880"/>
          </w:tcPr>
          <w:p>
            <w:r>
              <w:t>C — Full academic suite</w:t>
            </w:r>
          </w:p>
        </w:tc>
        <w:tc>
          <w:tcPr>
            <w:tcW w:type="dxa" w:w="2880"/>
          </w:tcPr>
          <w:p>
            <w:r>
              <w:t>Package B + exams/scheduling/results + richer reporting + PWA + optional API for future mobile</w:t>
            </w:r>
          </w:p>
        </w:tc>
        <w:tc>
          <w:tcPr>
            <w:tcW w:type="dxa" w:w="2880"/>
          </w:tcPr>
          <w:p>
            <w:r>
              <w:t>₦12.0M – ₦22.0M</w:t>
            </w:r>
          </w:p>
        </w:tc>
      </w:tr>
      <w:tr>
        <w:tc>
          <w:tcPr>
            <w:tcW w:type="dxa" w:w="2880"/>
          </w:tcPr>
          <w:p>
            <w:r>
              <w:t>D — Native mobile add-on</w:t>
            </w:r>
          </w:p>
        </w:tc>
        <w:tc>
          <w:tcPr>
            <w:tcW w:type="dxa" w:w="2880"/>
          </w:tcPr>
          <w:p>
            <w:r>
              <w:t>iOS + Android apps sharing backend with web</w:t>
            </w:r>
          </w:p>
        </w:tc>
        <w:tc>
          <w:tcPr>
            <w:tcW w:type="dxa" w:w="2880"/>
          </w:tcPr>
          <w:p>
            <w:r>
              <w:t>+₦4.0M – ₦10.0M (on top of B or C)</w:t>
            </w:r>
          </w:p>
        </w:tc>
      </w:tr>
    </w:tbl>
    <w:p>
      <w:pPr>
        <w:pStyle w:val="Heading3"/>
      </w:pPr>
      <w:r>
        <w:t>Ongoing costs (pass-through / operational):</w:t>
      </w:r>
    </w:p>
    <w:p>
      <w:pPr>
        <w:pStyle w:val="ListBullet"/>
      </w:pPr>
      <w:r>
        <w:t>Hosting &amp; infrastructure: roughly ₦50k – ₦250k/month depending on traffic and redundancy.</w:t>
      </w:r>
    </w:p>
    <w:p>
      <w:pPr>
        <w:pStyle w:val="ListBullet"/>
      </w:pPr>
      <w:r>
        <w:t>Third-party fees: payment gateway charges, SMS, email delivery, domain, SSL.</w:t>
      </w:r>
    </w:p>
    <w:p>
      <w:pPr>
        <w:pStyle w:val="ListBullet"/>
      </w:pPr>
      <w:r>
        <w:t>Retainer (optional): ₦150k – ₦600k/month for security updates, small enhancements, and priority support (hours cap to be agreed).</w:t>
      </w:r>
    </w:p>
    <w:p>
      <w:r>
        <w:t>Payment terms (typical): 40% on contract signing, 30% on MVP/UAT milestone, 30% on go-live — or monthly milestones for longer engagements.</w:t>
      </w:r>
    </w:p>
    <w:p>
      <w:pPr>
        <w:pStyle w:val="Heading1"/>
      </w:pPr>
      <w:r>
        <w:t>8. Assumptions &amp; dependencies</w:t>
      </w:r>
    </w:p>
    <w:p>
      <w:pPr>
        <w:pStyle w:val="ListBullet"/>
      </w:pPr>
      <w:r>
        <w:t>Client provides timely content (copy, images, fee tables, programme rules), branding assets, and a named product owner.</w:t>
      </w:r>
    </w:p>
    <w:p>
      <w:pPr>
        <w:pStyle w:val="ListBullet"/>
      </w:pPr>
      <w:r>
        <w:t>Payment provider KYC and settlement accounts are completed by the client.</w:t>
      </w:r>
    </w:p>
    <w:p>
      <w:pPr>
        <w:pStyle w:val="ListBullet"/>
      </w:pPr>
      <w:r>
        <w:t>Legal templates (enrolment agreements, refund policy) are supplied or reviewed by client’s counsel; Hyperion implements them as digital flows only.</w:t>
      </w:r>
    </w:p>
    <w:p>
      <w:pPr>
        <w:pStyle w:val="ListBullet"/>
      </w:pPr>
      <w:r>
        <w:t>Exam integrity (e.g. proctored high-stakes online exams) may require specialised third-party tools; scope and cost are separate if required.</w:t>
      </w:r>
    </w:p>
    <w:p>
      <w:pPr>
        <w:pStyle w:val="Heading1"/>
      </w:pPr>
      <w:r>
        <w:t>9. Risk &amp; quality</w:t>
      </w:r>
    </w:p>
    <w:p>
      <w:r>
        <w:t>Phased delivery reduces risk: revenue-related features (registration + payments) go live first. Staging environment and UAT sign-off before production. Data migration from Wix/manual spreadsheets can be scoped as a discrete work package if historical records must move over.</w:t>
      </w:r>
    </w:p>
    <w:p>
      <w:pPr>
        <w:pStyle w:val="Heading1"/>
      </w:pPr>
      <w:r>
        <w:t>10. Next steps</w:t>
      </w:r>
    </w:p>
    <w:p>
      <w:pPr>
        <w:pStyle w:val="ListNumber"/>
      </w:pPr>
      <w:r>
        <w:t>1. Discovery call (60–90 minutes) — map current process from first enquiry to enrolment to exams.</w:t>
      </w:r>
    </w:p>
    <w:p>
      <w:pPr>
        <w:pStyle w:val="ListNumber"/>
      </w:pPr>
      <w:r>
        <w:t>2. Written scope &amp; fixed quote for chosen package (A–C) plus any add-ons.</w:t>
      </w:r>
    </w:p>
    <w:p>
      <w:pPr>
        <w:pStyle w:val="ListNumber"/>
      </w:pPr>
      <w:r>
        <w:t>3. Contract &amp; kickoff — access, branding, and milestone schedule.</w:t>
      </w:r>
    </w:p>
    <w:p>
      <w:pPr>
        <w:pStyle w:val="Heading1"/>
      </w:pPr>
      <w:r>
        <w:t>Contact</w:t>
      </w:r>
    </w:p>
    <w:p>
      <w:r>
        <w:t>Hyperion Tech Hub — [insert email] | [insert phone] | [insert website]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