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</w:pPr>
            <w:r>
              <w:rPr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Готовое решение: Договор возмездного оказания услуг физлицом (не ИП): что обязательно проверить заказчику</w:t>
              <w:br/>
              <w:t xml:space="preserve">(КонсультантПлюс, 2025)</w:t>
            </w:r>
          </w:p>
        </w:tc>
      </w:tr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w:history="0" r:id="rId4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КонсультантПлюс</w:t>
                <w:br/>
                <w:br/>
              </w:r>
            </w:hyperlink>
            <w:hyperlink w:history="0" r:id="rId5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www.consultant.ru</w:t>
              </w:r>
            </w:hyperlink>
            <w:r>
              <w:rPr>
                <w:sz w:val="28"/>
              </w:rPr>
              <w:br/>
              <w:br/>
              <w:t xml:space="preserve">Дата сохранения: 01.12.2025</w:t>
            </w:r>
            <w:r>
              <w:rPr>
                <w:sz w:val="28"/>
              </w:rPr>
              <w:br/>
              <w:t xml:space="preserve"> 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  <w:jc w:val="both"/>
      </w:pPr>
      <w:r>
        <w:rPr>
          <w:sz w:val="24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right"/>
            </w:pPr>
            <w:r>
              <w:rPr>
                <w:sz w:val="24"/>
                <w:color w:val="392c69"/>
              </w:rPr>
              <w:t xml:space="preserve">КонсультантПлюс | Готовое решение | </w:t>
            </w:r>
            <w:r>
              <w:rPr>
                <w:sz w:val="24"/>
                <w:color w:val="392c69"/>
                <w:b w:val="on"/>
              </w:rPr>
              <w:t xml:space="preserve">Актуально на 01.12.2025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80"/>
        <w:gridCol w:w="9847"/>
        <w:gridCol w:w="180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e95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2f4e6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shd w:val="clear" w:fill="f2f4e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Материал позволяет заказчику проверить договор на основные риски и распространенные ошибки:</w:t>
            </w:r>
          </w:p>
          <w:p>
            <w:pPr>
              <w:pStyle w:val="0"/>
              <w:ind w:firstLine="-227" w:left="540"/>
              <w:jc w:val="both"/>
              <w:numPr>
                <w:ilvl w:val="0"/>
                <w:numId w:val="1"/>
              </w:numPr>
            </w:pPr>
            <w:r>
              <w:rPr>
                <w:sz w:val="24"/>
              </w:rPr>
              <w:t xml:space="preserve">признание договора трудовым;</w:t>
            </w:r>
          </w:p>
          <w:p>
            <w:pPr>
              <w:pStyle w:val="0"/>
              <w:ind w:firstLine="-227" w:left="540"/>
              <w:jc w:val="both"/>
              <w:numPr>
                <w:ilvl w:val="0"/>
                <w:numId w:val="1"/>
              </w:numPr>
            </w:pPr>
            <w:r>
              <w:rPr>
                <w:sz w:val="24"/>
              </w:rPr>
              <w:t xml:space="preserve">административные штрафы;</w:t>
            </w:r>
          </w:p>
          <w:p>
            <w:pPr>
              <w:pStyle w:val="0"/>
              <w:ind w:firstLine="-227" w:left="540"/>
              <w:jc w:val="both"/>
              <w:numPr>
                <w:ilvl w:val="0"/>
                <w:numId w:val="1"/>
              </w:numPr>
            </w:pPr>
            <w:r>
              <w:rPr>
                <w:sz w:val="24"/>
              </w:rPr>
              <w:t xml:space="preserve">нет существенных условий;</w:t>
            </w:r>
          </w:p>
          <w:p>
            <w:pPr>
              <w:pStyle w:val="0"/>
              <w:ind w:firstLine="-227" w:left="540"/>
              <w:jc w:val="both"/>
              <w:numPr>
                <w:ilvl w:val="0"/>
                <w:numId w:val="1"/>
              </w:numPr>
            </w:pPr>
            <w:r>
              <w:rPr>
                <w:sz w:val="24"/>
              </w:rPr>
              <w:t xml:space="preserve">нет выгодных условий, которые не действуют по умолчанию.</w:t>
            </w:r>
          </w:p>
          <w:p>
            <w:pPr>
              <w:pStyle w:val="0"/>
              <w:jc w:val="both"/>
            </w:pPr>
            <w:r>
              <w:rPr>
                <w:sz w:val="24"/>
              </w:rPr>
            </w:r>
          </w:p>
          <w:p>
            <w:pPr>
              <w:pStyle w:val="0"/>
              <w:jc w:val="both"/>
            </w:pPr>
            <w:r>
              <w:rPr>
                <w:sz w:val="24"/>
              </w:rPr>
              <w:t xml:space="preserve">Аналогичный материал для исполнителя - физического лица не предлагается.</w:t>
            </w:r>
          </w:p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2f4e6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spacing w:before="520" w:lineRule="auto"/>
        <w:jc w:val="both"/>
      </w:pPr>
      <w:r>
        <w:rPr>
          <w:sz w:val="40"/>
        </w:rPr>
      </w:r>
    </w:p>
    <w:p>
      <w:pPr>
        <w:pStyle w:val="0"/>
      </w:pPr>
      <w:r>
        <w:rPr>
          <w:sz w:val="40"/>
          <w:b w:val="on"/>
        </w:rPr>
        <w:t xml:space="preserve">Договор возмездного оказания услуг физлицом (не ИП): что обязательно проверить заказчику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80"/>
        <w:gridCol w:w="420"/>
        <w:gridCol w:w="9427"/>
        <w:gridCol w:w="180"/>
      </w:tblGrid>
      <w:tr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420" w:type="dxa"/>
            <w:tcMar>
              <w:top w:w="180" w:type="dxa"/>
              <w:left w:w="0" w:type="dxa"/>
              <w:bottom w:w="18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distT="0" distB="0" distL="0" distR="0">
                  <wp:extent cx="152400" cy="152400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Проверить другие варианты договора:</w:t>
            </w:r>
          </w:p>
          <w:p>
            <w:pPr>
              <w:pStyle w:val="0"/>
              <w:ind w:firstLine="-227" w:left="540"/>
              <w:jc w:val="both"/>
              <w:numPr>
                <w:ilvl w:val="0"/>
                <w:numId w:val="2"/>
              </w:numPr>
            </w:pPr>
            <w:hyperlink w:history="0" r:id="rId10" w:tooltip="Готовое решение: Договор возмездного оказания услуг между юрлицами: что обязательно проверить заказчику (КонсультантПлюс, 2025) {КонсультантПлюс}">
              <w:r>
                <w:rPr>
                  <w:sz w:val="24"/>
                  <w:color w:val="0000ff"/>
                </w:rPr>
                <w:t xml:space="preserve">оказание услуг между юрлицами</w:t>
              </w:r>
            </w:hyperlink>
          </w:p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80"/>
        <w:gridCol w:w="420"/>
        <w:gridCol w:w="9427"/>
        <w:gridCol w:w="180"/>
      </w:tblGrid>
      <w:tr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420" w:type="dxa"/>
            <w:tcMar>
              <w:top w:w="180" w:type="dxa"/>
              <w:left w:w="0" w:type="dxa"/>
              <w:bottom w:w="18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distT="0" distB="0" distL="0" distR="0">
                  <wp:extent cx="152400" cy="152400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Проверить налоговые риски:</w:t>
            </w:r>
          </w:p>
          <w:p>
            <w:pPr>
              <w:pStyle w:val="0"/>
              <w:ind w:firstLine="-227" w:left="540"/>
              <w:jc w:val="both"/>
              <w:numPr>
                <w:ilvl w:val="0"/>
                <w:numId w:val="2"/>
              </w:numPr>
            </w:pPr>
            <w:hyperlink w:history="0" r:id="rId11" w:tooltip="Готовое решение: Налоговые риски по договору оказания услуг с физическим лицом: что обязательно проверить заказчику (КонсультантПлюс, 2025) {КонсультантПлюс}">
              <w:r>
                <w:rPr>
                  <w:sz w:val="24"/>
                  <w:color w:val="0000ff"/>
                </w:rPr>
                <w:t xml:space="preserve">оказание услуг физлицом</w:t>
              </w:r>
            </w:hyperlink>
          </w:p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spacing w:before="440" w:lineRule="auto"/>
        <w:jc w:val="both"/>
      </w:pPr>
      <w:r>
        <w:rPr>
          <w:sz w:val="34"/>
        </w:rPr>
      </w:r>
    </w:p>
    <w:p>
      <w:pPr>
        <w:pStyle w:val="0"/>
        <w:outlineLvl w:val="0"/>
      </w:pPr>
      <w:r>
        <w:rPr>
          <w:sz w:val="34"/>
          <w:b w:val="on"/>
        </w:rPr>
        <w:t xml:space="preserve">1. Какие услуги заказываете</w:t>
      </w:r>
    </w:p>
    <w:p>
      <w:pPr>
        <w:pStyle w:val="0"/>
        <w:spacing w:before="240" w:lineRule="auto"/>
        <w:jc w:val="both"/>
      </w:pPr>
      <w:r>
        <w:rPr>
          <w:sz w:val="24"/>
          <w:b w:val="on"/>
        </w:rPr>
        <w:t xml:space="preserve">Риски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Если вместо услуг опишете трудовую функцию, ваш договор могут признать трудовым (</w:t>
      </w:r>
      <w:hyperlink w:history="0" r:id="rId12" w:tooltip="&quot;Трудовой кодекс Российской Федерации&quot; от 30.12.2001 N 197-ФЗ (ред. от 29.09.2025) {КонсультантПлюс}">
        <w:r>
          <w:rPr>
            <w:sz w:val="24"/>
            <w:color w:val="0000ff"/>
          </w:rPr>
          <w:t xml:space="preserve">ст. ст. 15</w:t>
        </w:r>
      </w:hyperlink>
      <w:r>
        <w:rPr>
          <w:sz w:val="24"/>
        </w:rPr>
        <w:t xml:space="preserve">, </w:t>
      </w:r>
      <w:hyperlink w:history="0" r:id="rId13" w:tooltip="&quot;Трудовой кодекс Российской Федерации&quot; от 30.12.2001 N 197-ФЗ (ред. от 29.09.2025) {КонсультантПлюс}">
        <w:r>
          <w:rPr>
            <w:sz w:val="24"/>
            <w:color w:val="0000ff"/>
          </w:rPr>
          <w:t xml:space="preserve">19.1</w:t>
        </w:r>
      </w:hyperlink>
      <w:r>
        <w:rPr>
          <w:sz w:val="24"/>
        </w:rPr>
        <w:t xml:space="preserve"> ТК РФ). Придется соблюдать трудовое законодательство - предоставлять отпуска, больничные и т.д.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За неправильное оформление трудовых отношений вашей организации грозит штраф до 100 000 руб. При повторном нарушении штраф увеличится (</w:t>
      </w:r>
      <w:hyperlink w:history="0" r:id="rId14" w:tooltip="&quot;Кодекс Российской Федерации об административных правонарушениях&quot; от 30.12.2001 N 195-ФЗ (ред. от 04.11.2025) {КонсультантПлюс}">
        <w:r>
          <w:rPr>
            <w:sz w:val="24"/>
            <w:color w:val="0000ff"/>
          </w:rPr>
          <w:t xml:space="preserve">ч. 4</w:t>
        </w:r>
      </w:hyperlink>
      <w:r>
        <w:rPr>
          <w:sz w:val="24"/>
        </w:rPr>
        <w:t xml:space="preserve">, </w:t>
      </w:r>
      <w:hyperlink w:history="0" r:id="rId15" w:tooltip="&quot;Кодекс Российской Федерации об административных правонарушениях&quot; от 30.12.2001 N 195-ФЗ (ред. от 04.11.2025) {КонсультантПлюс}">
        <w:r>
          <w:rPr>
            <w:sz w:val="24"/>
            <w:color w:val="0000ff"/>
          </w:rPr>
          <w:t xml:space="preserve">5 ст. 5.27</w:t>
        </w:r>
      </w:hyperlink>
      <w:r>
        <w:rPr>
          <w:sz w:val="24"/>
        </w:rPr>
        <w:t xml:space="preserve"> КоАП РФ).</w:t>
      </w:r>
    </w:p>
    <w:p>
      <w:pPr>
        <w:pStyle w:val="0"/>
        <w:spacing w:before="240" w:lineRule="auto"/>
        <w:jc w:val="both"/>
      </w:pPr>
      <w:r>
        <w:rPr>
          <w:sz w:val="24"/>
          <w:b w:val="on"/>
        </w:rPr>
        <w:t xml:space="preserve">Рекомендации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Не пишите в предмете договора "исполнение обязанностей уборщицы (бухгалтера, юриста и т.п)". Лучше - "услуги по уборке (юридические или консультационные услуги)". Также избегайте слов "должность", "функция", "прием на работу", "рабочее место" и т.п. Это признаки трудовых отношений (</w:t>
      </w:r>
      <w:hyperlink w:history="0" r:id="rId16" w:tooltip="&quot;Трудовой кодекс Российской Федерации&quot; от 30.12.2001 N 197-ФЗ (ред. от 29.09.2025) {КонсультантПлюс}">
        <w:r>
          <w:rPr>
            <w:sz w:val="24"/>
            <w:color w:val="0000ff"/>
          </w:rPr>
          <w:t xml:space="preserve">ст. 15</w:t>
        </w:r>
      </w:hyperlink>
      <w:r>
        <w:rPr>
          <w:sz w:val="24"/>
        </w:rPr>
        <w:t xml:space="preserve">, </w:t>
      </w:r>
      <w:hyperlink w:history="0" r:id="rId17" w:tooltip="&quot;Трудовой кодекс Российской Федерации&quot; от 30.12.2001 N 197-ФЗ (ред. от 29.09.2025) {КонсультантПлюс}">
        <w:r>
          <w:rPr>
            <w:sz w:val="24"/>
            <w:color w:val="0000ff"/>
          </w:rPr>
          <w:t xml:space="preserve">ч. 1 ст. 56</w:t>
        </w:r>
      </w:hyperlink>
      <w:r>
        <w:rPr>
          <w:sz w:val="24"/>
        </w:rPr>
        <w:t xml:space="preserve"> ТК РФ).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Определите конкретный объем услуг. В идеале - разовое задание. Например, составить договор, бухгалтерскую отчетность за определенный период.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Если вам нужен специалист на постоянной основе, но вы не хотите включать его в штат, безопасней заключать </w:t>
      </w:r>
      <w:hyperlink w:history="0" r:id="rId18" w:tooltip="Готовое решение: Как составить договор о предоставлении персонала (договор аутстаффинга) (КонсультантПлюс, 2025) {КонсультантПлюс}">
        <w:r>
          <w:rPr>
            <w:sz w:val="24"/>
            <w:color w:val="0000ff"/>
          </w:rPr>
          <w:t xml:space="preserve">договоры на предоставление персонала</w:t>
        </w:r>
      </w:hyperlink>
      <w:r>
        <w:rPr>
          <w:sz w:val="24"/>
        </w:rPr>
        <w:t xml:space="preserve">.</w:t>
      </w:r>
    </w:p>
    <w:p>
      <w:pPr>
        <w:pStyle w:val="0"/>
        <w:jc w:val="both"/>
      </w:pPr>
      <w:r>
        <w:rPr>
          <w:sz w:val="34"/>
        </w:rPr>
      </w:r>
    </w:p>
    <w:p>
      <w:pPr>
        <w:pStyle w:val="0"/>
        <w:outlineLvl w:val="0"/>
      </w:pPr>
      <w:r>
        <w:rPr>
          <w:sz w:val="34"/>
          <w:b w:val="on"/>
        </w:rPr>
        <w:t xml:space="preserve">2. Порядок оказания услуги</w:t>
      </w:r>
    </w:p>
    <w:p>
      <w:pPr>
        <w:pStyle w:val="0"/>
        <w:spacing w:before="240" w:lineRule="auto"/>
        <w:jc w:val="both"/>
      </w:pPr>
      <w:r>
        <w:rPr>
          <w:sz w:val="24"/>
          <w:b w:val="on"/>
        </w:rPr>
        <w:t xml:space="preserve">Риски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Если процесс оказания услуги полностью под вашим контролем, договор могут признать трудовым (</w:t>
      </w:r>
      <w:hyperlink w:history="0" r:id="rId19" w:tooltip="&quot;Трудовой кодекс Российской Федерации&quot; от 30.12.2001 N 197-ФЗ (ред. от 29.09.2025) {КонсультантПлюс}">
        <w:r>
          <w:rPr>
            <w:sz w:val="24"/>
            <w:color w:val="0000ff"/>
          </w:rPr>
          <w:t xml:space="preserve">ст. ст. 15</w:t>
        </w:r>
      </w:hyperlink>
      <w:r>
        <w:rPr>
          <w:sz w:val="24"/>
        </w:rPr>
        <w:t xml:space="preserve">, </w:t>
      </w:r>
      <w:hyperlink w:history="0" r:id="rId20" w:tooltip="&quot;Трудовой кодекс Российской Федерации&quot; от 30.12.2001 N 197-ФЗ (ред. от 29.09.2025) {КонсультантПлюс}">
        <w:r>
          <w:rPr>
            <w:sz w:val="24"/>
            <w:color w:val="0000ff"/>
          </w:rPr>
          <w:t xml:space="preserve">19.1</w:t>
        </w:r>
      </w:hyperlink>
      <w:r>
        <w:rPr>
          <w:sz w:val="24"/>
        </w:rPr>
        <w:t xml:space="preserve"> ТК РФ). Придется соблюдать трудовое законодательство - предоставлять отпуска, больничные и т.д.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За неправильное оформление трудовых отношений вашей организации грозит штраф до 100 000 руб. При повторном нарушении штраф увеличится (</w:t>
      </w:r>
      <w:hyperlink w:history="0" r:id="rId21" w:tooltip="&quot;Кодекс Российской Федерации об административных правонарушениях&quot; от 30.12.2001 N 195-ФЗ (ред. от 04.11.2025) {КонсультантПлюс}">
        <w:r>
          <w:rPr>
            <w:sz w:val="24"/>
            <w:color w:val="0000ff"/>
          </w:rPr>
          <w:t xml:space="preserve">ч. 4</w:t>
        </w:r>
      </w:hyperlink>
      <w:r>
        <w:rPr>
          <w:sz w:val="24"/>
        </w:rPr>
        <w:t xml:space="preserve">, </w:t>
      </w:r>
      <w:hyperlink w:history="0" r:id="rId22" w:tooltip="&quot;Кодекс Российской Федерации об административных правонарушениях&quot; от 30.12.2001 N 195-ФЗ (ред. от 04.11.2025) {КонсультантПлюс}">
        <w:r>
          <w:rPr>
            <w:sz w:val="24"/>
            <w:color w:val="0000ff"/>
          </w:rPr>
          <w:t xml:space="preserve">5 ст. 5.27</w:t>
        </w:r>
      </w:hyperlink>
      <w:r>
        <w:rPr>
          <w:sz w:val="24"/>
        </w:rPr>
        <w:t xml:space="preserve"> КоАП РФ).</w:t>
      </w:r>
    </w:p>
    <w:p>
      <w:pPr>
        <w:pStyle w:val="0"/>
        <w:spacing w:before="240" w:lineRule="auto"/>
        <w:jc w:val="both"/>
      </w:pPr>
      <w:r>
        <w:rPr>
          <w:sz w:val="24"/>
          <w:b w:val="on"/>
        </w:rPr>
        <w:t xml:space="preserve">Рекомендации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Избегайте условий о режиме работы исполнителя (например, оказание услуг с понедельника по пятницу с 9:00 до 18:00), днях отдыха, оплате работы в выходные дни, соблюдении правил трудового распорядка.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Не включайте в договор свое право контролировать процесс, в частности менять очередность задач.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Можно предусмотреть для исполнителя право с вашего согласия привлекать третьих лиц для оказания услуг. Это также говорит об отсутствии трудовых отношений. По умолчанию такого права нет (</w:t>
      </w:r>
      <w:hyperlink w:history="0" r:id="rId23" w:tooltip="&quot;Гражданский кодекс Российской Федерации (часть вторая)&quot; от 26.01.1996 N 14-ФЗ (ред. от 24.06.2025) {КонсультантПлюс}">
        <w:r>
          <w:rPr>
            <w:sz w:val="24"/>
            <w:color w:val="0000ff"/>
          </w:rPr>
          <w:t xml:space="preserve">ст. 780</w:t>
        </w:r>
      </w:hyperlink>
      <w:r>
        <w:rPr>
          <w:sz w:val="24"/>
        </w:rPr>
        <w:t xml:space="preserve"> ГК РФ).</w:t>
      </w:r>
    </w:p>
    <w:p>
      <w:pPr>
        <w:pStyle w:val="0"/>
        <w:jc w:val="both"/>
      </w:pPr>
      <w:r>
        <w:rPr>
          <w:sz w:val="34"/>
        </w:rPr>
      </w:r>
    </w:p>
    <w:p>
      <w:pPr>
        <w:pStyle w:val="0"/>
        <w:outlineLvl w:val="0"/>
      </w:pPr>
      <w:r>
        <w:rPr>
          <w:sz w:val="34"/>
          <w:b w:val="on"/>
        </w:rPr>
        <w:t xml:space="preserve">3. Цена договора</w:t>
      </w:r>
    </w:p>
    <w:p>
      <w:pPr>
        <w:pStyle w:val="0"/>
        <w:spacing w:before="240" w:lineRule="auto"/>
        <w:jc w:val="both"/>
      </w:pPr>
      <w:r>
        <w:rPr>
          <w:sz w:val="24"/>
          <w:b w:val="on"/>
        </w:rPr>
        <w:t xml:space="preserve">Риски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Из-за условий, похожих на оплату труда работника, договор могут признать трудовым. Вам грозит штраф до 100 тыс. руб. При повторном нарушении он увеличится (</w:t>
      </w:r>
      <w:hyperlink w:history="0" r:id="rId24" w:tooltip="&quot;Кодекс Российской Федерации об административных правонарушениях&quot; от 30.12.2001 N 195-ФЗ (ред. от 04.11.2025) {КонсультантПлюс}">
        <w:r>
          <w:rPr>
            <w:sz w:val="24"/>
            <w:color w:val="0000ff"/>
          </w:rPr>
          <w:t xml:space="preserve">ч. 4</w:t>
        </w:r>
      </w:hyperlink>
      <w:r>
        <w:rPr>
          <w:sz w:val="24"/>
        </w:rPr>
        <w:t xml:space="preserve">, </w:t>
      </w:r>
      <w:hyperlink w:history="0" r:id="rId25" w:tooltip="&quot;Кодекс Российской Федерации об административных правонарушениях&quot; от 30.12.2001 N 195-ФЗ (ред. от 04.11.2025) {КонсультантПлюс}">
        <w:r>
          <w:rPr>
            <w:sz w:val="24"/>
            <w:color w:val="0000ff"/>
          </w:rPr>
          <w:t xml:space="preserve">5 ст. 5.27</w:t>
        </w:r>
      </w:hyperlink>
      <w:r>
        <w:rPr>
          <w:sz w:val="24"/>
        </w:rPr>
        <w:t xml:space="preserve"> КоАП РФ). Также придется соблюдать трудовое законодательство, предоставлять отпуска и больничные.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Возможен конфликт по поводу цены, если исполнитель решит, что сумма указана "чистыми", без учета НДФЛ.</w:t>
      </w:r>
    </w:p>
    <w:p>
      <w:pPr>
        <w:pStyle w:val="0"/>
        <w:spacing w:before="240" w:lineRule="auto"/>
        <w:jc w:val="both"/>
      </w:pPr>
      <w:r>
        <w:rPr>
          <w:sz w:val="24"/>
          <w:b w:val="on"/>
        </w:rPr>
        <w:t xml:space="preserve">Рекомендации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Лучше, если вознаграждение исполнителя определяется не в виде фиксированного платежа в месяц, а за конкретный объем услуг - за каждый документ, консультацию, площадь убранных помещений и т.п. Избегайте слов "зарплата", "оклад", "премия".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Для физлиц без статуса ИП (адвоката, нотариуса) вы - налоговый агент, то есть обязаны исчислить и удержать НДФЛ из выплат по договору. Укажите в договоре, что удерживаете НДФЛ из суммы вознаграждения.</w:t>
      </w:r>
    </w:p>
    <w:p>
      <w:pPr>
        <w:pStyle w:val="0"/>
        <w:jc w:val="both"/>
      </w:pPr>
      <w:r>
        <w:rPr>
          <w:sz w:val="34"/>
        </w:rPr>
      </w:r>
    </w:p>
    <w:p>
      <w:pPr>
        <w:pStyle w:val="0"/>
        <w:outlineLvl w:val="0"/>
      </w:pPr>
      <w:r>
        <w:rPr>
          <w:sz w:val="34"/>
          <w:b w:val="on"/>
        </w:rPr>
        <w:t xml:space="preserve">4. Срок договора</w:t>
      </w:r>
    </w:p>
    <w:p>
      <w:pPr>
        <w:pStyle w:val="0"/>
        <w:spacing w:before="240" w:lineRule="auto"/>
        <w:jc w:val="both"/>
      </w:pPr>
      <w:r>
        <w:rPr>
          <w:sz w:val="24"/>
          <w:b w:val="on"/>
        </w:rPr>
        <w:t xml:space="preserve">Риски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Бессрочный характер свойственен трудовым отношениям. Постоянный характер отношений может являться </w:t>
      </w:r>
      <w:hyperlink w:history="0" r:id="rId26" w:tooltip="Постановление Пленума Верховного Суда РФ от 23.12.2021 N 45 &quot;О некоторых вопросах, возникающих при рассмотрении судами общей юрисдикции дел об административных правонарушениях, связанных с нарушением трудового законодательства и иных нормативных правовых актов, содержащих нормы трудового права&quot; {КонсультантПлюс}">
        <w:r>
          <w:rPr>
            <w:sz w:val="24"/>
            <w:color w:val="0000ff"/>
          </w:rPr>
          <w:t xml:space="preserve">доказательством</w:t>
        </w:r>
      </w:hyperlink>
      <w:r>
        <w:rPr>
          <w:sz w:val="24"/>
        </w:rPr>
        <w:t xml:space="preserve"> по делу при привлечении вас к ответственности по </w:t>
      </w:r>
      <w:hyperlink w:history="0" r:id="rId27" w:tooltip="&quot;Кодекс Российской Федерации об административных правонарушениях&quot; от 30.12.2001 N 195-ФЗ (ред. от 04.11.2025) {КонсультантПлюс}">
        <w:r>
          <w:rPr>
            <w:sz w:val="24"/>
            <w:color w:val="0000ff"/>
          </w:rPr>
          <w:t xml:space="preserve">ч. 4</w:t>
        </w:r>
      </w:hyperlink>
      <w:r>
        <w:rPr>
          <w:sz w:val="24"/>
        </w:rPr>
        <w:t xml:space="preserve">, </w:t>
      </w:r>
      <w:hyperlink w:history="0" r:id="rId28" w:tooltip="&quot;Кодекс Российской Федерации об административных правонарушениях&quot; от 30.12.2001 N 195-ФЗ (ред. от 04.11.2025) {КонсультантПлюс}">
        <w:r>
          <w:rPr>
            <w:sz w:val="24"/>
            <w:color w:val="0000ff"/>
          </w:rPr>
          <w:t xml:space="preserve">5 ст. 5.27</w:t>
        </w:r>
      </w:hyperlink>
      <w:r>
        <w:rPr>
          <w:sz w:val="24"/>
        </w:rPr>
        <w:t xml:space="preserve"> КоАП РФ.</w:t>
      </w:r>
    </w:p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80"/>
        <w:gridCol w:w="420"/>
        <w:gridCol w:w="9427"/>
        <w:gridCol w:w="180"/>
      </w:tblGrid>
      <w:tr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420" w:type="dxa"/>
            <w:tcMar>
              <w:top w:w="180" w:type="dxa"/>
              <w:left w:w="0" w:type="dxa"/>
              <w:bottom w:w="18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distT="0" distB="0" distL="0" distR="0">
                  <wp:extent cx="152400" cy="152400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См. также: </w:t>
            </w:r>
            <w:hyperlink w:history="0" r:id="rId29" w:tooltip="Ссылка на КонсультантПлюс">
              <w:r>
                <w:rPr>
                  <w:sz w:val="24"/>
                  <w:color w:val="0000ff"/>
                </w:rPr>
                <w:t xml:space="preserve">Какие позиции есть у судов о продлении (перезаключении) договора ГПХ</w:t>
              </w:r>
            </w:hyperlink>
          </w:p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  <w:b w:val="on"/>
        </w:rPr>
        <w:t xml:space="preserve">Рекомендации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Проверьте, указаны ли в договоре даты начала и окончания периода оказания услуг. Например, можно сформулировать такое условие: исполнитель обязуется оказать услуги, предусмотренные договором, в следующие сроки:</w:t>
      </w:r>
    </w:p>
    <w:p>
      <w:pPr>
        <w:pStyle w:val="0"/>
        <w:spacing w:before="240" w:lineRule="auto"/>
        <w:ind w:firstLine="-227" w:left="540"/>
        <w:jc w:val="both"/>
        <w:numPr>
          <w:ilvl w:val="0"/>
          <w:numId w:val="3"/>
        </w:numPr>
      </w:pPr>
      <w:r>
        <w:rPr>
          <w:sz w:val="24"/>
        </w:rPr>
        <w:t xml:space="preserve">начальный - 12 января 2022 г.;</w:t>
      </w:r>
    </w:p>
    <w:p>
      <w:pPr>
        <w:pStyle w:val="0"/>
        <w:spacing w:before="240" w:lineRule="auto"/>
        <w:ind w:firstLine="-227" w:left="540"/>
        <w:jc w:val="both"/>
        <w:numPr>
          <w:ilvl w:val="0"/>
          <w:numId w:val="3"/>
        </w:numPr>
      </w:pPr>
      <w:r>
        <w:rPr>
          <w:sz w:val="24"/>
        </w:rPr>
        <w:t xml:space="preserve">конечный - 30 января 2022 г.</w:t>
      </w:r>
    </w:p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80"/>
        <w:gridCol w:w="420"/>
        <w:gridCol w:w="9427"/>
        <w:gridCol w:w="180"/>
      </w:tblGrid>
      <w:tr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420" w:type="dxa"/>
            <w:tcMar>
              <w:top w:w="180" w:type="dxa"/>
              <w:left w:w="0" w:type="dxa"/>
              <w:bottom w:w="18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distT="0" distB="0" distL="0" distR="0">
                  <wp:extent cx="152400" cy="152400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Узнать больше деталей по основным условиям договора:</w:t>
            </w:r>
          </w:p>
          <w:p>
            <w:pPr>
              <w:pStyle w:val="0"/>
              <w:jc w:val="both"/>
            </w:pPr>
            <w:r>
              <w:rPr>
                <w:sz w:val="24"/>
              </w:rPr>
              <w:t xml:space="preserve">Готовое решение: </w:t>
            </w:r>
            <w:hyperlink w:history="0" r:id="rId30" w:tooltip="Готовое решение: Как заключить гражданско-правовой договор оказания услуг физическим лицом (КонсультантПлюс, 2025) {КонсультантПлюс}">
              <w:r>
                <w:rPr>
                  <w:sz w:val="24"/>
                  <w:color w:val="0000ff"/>
                </w:rPr>
                <w:t xml:space="preserve">Как заключить гражданско-правовой договор оказания услуг физическим лицом</w:t>
              </w:r>
            </w:hyperlink>
          </w:p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80"/>
        <w:gridCol w:w="420"/>
        <w:gridCol w:w="9427"/>
        <w:gridCol w:w="180"/>
      </w:tblGrid>
      <w:tr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420" w:type="dxa"/>
            <w:tcMar>
              <w:top w:w="180" w:type="dxa"/>
              <w:left w:w="0" w:type="dxa"/>
              <w:bottom w:w="18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distT="0" distB="0" distL="0" distR="0">
                  <wp:extent cx="152400" cy="171450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tcMar>
              <w:top w:w="180" w:type="dxa"/>
              <w:left w:w="0" w:type="dxa"/>
              <w:bottom w:w="18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Скачать готовую форму:</w:t>
            </w:r>
          </w:p>
          <w:p>
            <w:pPr>
              <w:pStyle w:val="0"/>
              <w:jc w:val="both"/>
            </w:pPr>
            <w:hyperlink w:history="0" r:id="rId32" w:tooltip="Форма: Договор возмездного оказания услуг с исполнителем - физическим лицом (услуги по уборке помещения) (образец заполнения) (КонсультантПлюс, 2025) {КонсультантПлюс}">
              <w:r>
                <w:rPr>
                  <w:sz w:val="24"/>
                  <w:color w:val="0000ff"/>
                </w:rPr>
                <w:t xml:space="preserve">Образец</w:t>
              </w:r>
            </w:hyperlink>
            <w:r>
              <w:rPr>
                <w:sz w:val="24"/>
              </w:rPr>
              <w:t xml:space="preserve"> договора возмездного оказания услуг с исполнителем - физическим лицом (услуги по уборке помещения)</w:t>
            </w:r>
          </w:p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7"/>
      <w:headerReference w:type="first" r:id="rId7"/>
      <w:footerReference w:type="default" r:id="rId8"/>
      <w:footerReference w:type="first" r:id="rId8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Готовое решение: Договор возмездного оказания услуг физлицом (не ИП): что обязательно проверить заказчику</w:t>
            <w:br/>
            <w:t>(КонсультантПл...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01.12.2025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1" w15:restartNumberingAfterBreak="0">
    <w:multiLevelType w:val="multilevel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</w:abstractNum>
  <w:abstractNum w:abstractNumId="2" w15:restartNumberingAfterBreak="0">
    <w:multiLevelType w:val="multilevel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</w:abstractNum>
  <w:abstractNum w:abstractNumId="3" w15:restartNumberingAfterBreak="0">
    <w:multiLevelType w:val="multilevel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word/settings.xml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hyperlink" Target="https://www.consultant.ru" TargetMode = "External"/><Relationship Id="rId5" Type="http://schemas.openxmlformats.org/officeDocument/2006/relationships/hyperlink" Target="https://www.consultant.ru" TargetMode = "External"/><Relationship Id="rId6" Type="http://schemas.openxmlformats.org/officeDocument/2006/relationships/numbering" Target="numbering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image2.png"/><Relationship Id="rId10" Type="http://schemas.openxmlformats.org/officeDocument/2006/relationships/hyperlink" Target="http://login.consultant.ru/link/?req=doc&amp;base=CJI&amp;n=124635&amp;date=01.12.2025" TargetMode = "External"/><Relationship Id="rId11" Type="http://schemas.openxmlformats.org/officeDocument/2006/relationships/hyperlink" Target="http://login.consultant.ru/link/?req=doc&amp;base=PBI&amp;n=256335&amp;date=01.12.2025" TargetMode = "External"/><Relationship Id="rId12" Type="http://schemas.openxmlformats.org/officeDocument/2006/relationships/hyperlink" Target="http://login.consultant.ru/link/?req=doc&amp;base=LAW&amp;n=515484&amp;date=01.12.2025&amp;dst=164&amp;field=134" TargetMode = "External"/><Relationship Id="rId13" Type="http://schemas.openxmlformats.org/officeDocument/2006/relationships/hyperlink" Target="http://login.consultant.ru/link/?req=doc&amp;base=LAW&amp;n=515484&amp;date=01.12.2025&amp;dst=102493&amp;field=134" TargetMode = "External"/><Relationship Id="rId14" Type="http://schemas.openxmlformats.org/officeDocument/2006/relationships/hyperlink" Target="http://login.consultant.ru/link/?req=doc&amp;base=LAW&amp;n=518138&amp;date=01.12.2025&amp;dst=7450&amp;field=134" TargetMode = "External"/><Relationship Id="rId15" Type="http://schemas.openxmlformats.org/officeDocument/2006/relationships/hyperlink" Target="http://login.consultant.ru/link/?req=doc&amp;base=LAW&amp;n=518138&amp;date=01.12.2025&amp;dst=7452&amp;field=134" TargetMode = "External"/><Relationship Id="rId16" Type="http://schemas.openxmlformats.org/officeDocument/2006/relationships/hyperlink" Target="http://login.consultant.ru/link/?req=doc&amp;base=LAW&amp;n=515484&amp;date=01.12.2025&amp;dst=164&amp;field=134" TargetMode = "External"/><Relationship Id="rId17" Type="http://schemas.openxmlformats.org/officeDocument/2006/relationships/hyperlink" Target="http://login.consultant.ru/link/?req=doc&amp;base=LAW&amp;n=515484&amp;date=01.12.2025&amp;dst=2155&amp;field=134" TargetMode = "External"/><Relationship Id="rId18" Type="http://schemas.openxmlformats.org/officeDocument/2006/relationships/hyperlink" Target="http://login.consultant.ru/link/?req=doc&amp;base=CJI&amp;n=134083&amp;date=01.12.2025" TargetMode = "External"/><Relationship Id="rId19" Type="http://schemas.openxmlformats.org/officeDocument/2006/relationships/hyperlink" Target="http://login.consultant.ru/link/?req=doc&amp;base=LAW&amp;n=515484&amp;date=01.12.2025&amp;dst=164&amp;field=134" TargetMode = "External"/><Relationship Id="rId20" Type="http://schemas.openxmlformats.org/officeDocument/2006/relationships/hyperlink" Target="http://login.consultant.ru/link/?req=doc&amp;base=LAW&amp;n=515484&amp;date=01.12.2025&amp;dst=102493&amp;field=134" TargetMode = "External"/><Relationship Id="rId21" Type="http://schemas.openxmlformats.org/officeDocument/2006/relationships/hyperlink" Target="http://login.consultant.ru/link/?req=doc&amp;base=LAW&amp;n=518138&amp;date=01.12.2025&amp;dst=7450&amp;field=134" TargetMode = "External"/><Relationship Id="rId22" Type="http://schemas.openxmlformats.org/officeDocument/2006/relationships/hyperlink" Target="http://login.consultant.ru/link/?req=doc&amp;base=LAW&amp;n=518138&amp;date=01.12.2025&amp;dst=7452&amp;field=134" TargetMode = "External"/><Relationship Id="rId23" Type="http://schemas.openxmlformats.org/officeDocument/2006/relationships/hyperlink" Target="http://login.consultant.ru/link/?req=doc&amp;base=LAW&amp;n=508506&amp;date=01.12.2025&amp;dst=101330&amp;field=134" TargetMode = "External"/><Relationship Id="rId24" Type="http://schemas.openxmlformats.org/officeDocument/2006/relationships/hyperlink" Target="http://login.consultant.ru/link/?req=doc&amp;base=LAW&amp;n=518138&amp;date=01.12.2025&amp;dst=7450&amp;field=134" TargetMode = "External"/><Relationship Id="rId25" Type="http://schemas.openxmlformats.org/officeDocument/2006/relationships/hyperlink" Target="http://login.consultant.ru/link/?req=doc&amp;base=LAW&amp;n=518138&amp;date=01.12.2025&amp;dst=7452&amp;field=134" TargetMode = "External"/><Relationship Id="rId26" Type="http://schemas.openxmlformats.org/officeDocument/2006/relationships/hyperlink" Target="http://login.consultant.ru/link/?req=doc&amp;base=LAW&amp;n=404665&amp;date=01.12.2025&amp;dst=100034&amp;field=134" TargetMode = "External"/><Relationship Id="rId27" Type="http://schemas.openxmlformats.org/officeDocument/2006/relationships/hyperlink" Target="http://login.consultant.ru/link/?req=doc&amp;base=LAW&amp;n=518138&amp;date=01.12.2025&amp;dst=7450&amp;field=134" TargetMode = "External"/><Relationship Id="rId28" Type="http://schemas.openxmlformats.org/officeDocument/2006/relationships/hyperlink" Target="http://login.consultant.ru/link/?req=doc&amp;base=LAW&amp;n=518138&amp;date=01.12.2025&amp;dst=7452&amp;field=134" TargetMode = "External"/><Relationship Id="rId29" Type="http://schemas.openxmlformats.org/officeDocument/2006/relationships/hyperlink" Target="http://login.consultant.ru/link/?req=doc&amp;base=PSVTP&amp;n=81&amp;date=01.12.2025&amp;dst=100019&amp;field=134" TargetMode = "External"/><Relationship Id="rId30" Type="http://schemas.openxmlformats.org/officeDocument/2006/relationships/hyperlink" Target="http://login.consultant.ru/link/?req=doc&amp;base=CJI&amp;n=112714&amp;date=01.12.2025" TargetMode = "External"/><Relationship Id="rId31" Type="http://schemas.openxmlformats.org/officeDocument/2006/relationships/image" Target="media/image3.png"/><Relationship Id="rId32" Type="http://schemas.openxmlformats.org/officeDocument/2006/relationships/hyperlink" Target="http://login.consultant.ru/link/?req=doc&amp;base=PAP&amp;n=90159&amp;date=01.12.2025" TargetMode = "External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4025.00.30</Application>
  <Company>КонсультантПлюс Версия 4025.00.30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Готовое решение: Договор возмездного оказания услуг физлицом (не ИП): что обязательно проверить заказчику
(КонсультантПлюс, 2025)</dc:title>
  <dcterms:created xsi:type="dcterms:W3CDTF">2025-12-01T19:47:37Z</dcterms:created>
</cp:coreProperties>
</file>