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SQL的学习记录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安装SQL：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instrText xml:space="preserve"> HYPERLINK "https://dev.mysql.com/downloads/file/?id=521933" </w:instrTex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2"/>
          <w:szCs w:val="28"/>
          <w:lang w:val="en-US" w:eastAsia="zh-CN"/>
        </w:rPr>
        <w:t>https://dev.mysql.com/downloads/file/?id=521933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SQL的安装教程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https://blog.csdn.net/m0_59681797/article/details/13442130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4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安装可视化工具SQLyog：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instrText xml:space="preserve"> HYPERLINK "https://en.softonic.com/download/sqlyog/windows/post-download?ex=CS-1689.3" </w:instrTex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2"/>
          <w:szCs w:val="28"/>
          <w:lang w:val="en-US" w:eastAsia="zh-CN"/>
        </w:rPr>
        <w:t>https://en.softonic.com/download/sqlyog/windows/post-download?ex=CS-1689.3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SQLyog安装教程：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instrText xml:space="preserve"> HYPERLINK "https://blog.csdn.net/weixin_43364551/article/details/116754626" </w:instrTex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2"/>
          <w:szCs w:val="28"/>
          <w:lang w:val="en-US" w:eastAsia="zh-CN"/>
        </w:rPr>
        <w:t>https://blog.csdn.net/weixin_43364551/article/details/116754626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Xampp的MySQL打不开？端口占用了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"https://www.runoob.com/w3cnote/windows-finds-port-usage.html"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Windows下如何查看某个端口被谁占用 | 菜鸟教程 (runoob.com)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17159"/>
    <w:multiLevelType w:val="singleLevel"/>
    <w:tmpl w:val="AC4171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4MzJiOWQwOTM1Y2UyM2RkZGYzOTJmYzgzYmY3ZGUifQ=="/>
  </w:docVars>
  <w:rsids>
    <w:rsidRoot w:val="00000000"/>
    <w:rsid w:val="3D4D04EA"/>
    <w:rsid w:val="57E7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2023-12-04T11:52:00Z</dcterms:created>
  <dc:creator>李特</dc:creator>
  <cp:lastModifiedBy>Terry</cp:lastModifiedBy>
  <dcterms:modified xsi:type="dcterms:W3CDTF">2023-12-05T07:34:47Z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E054B63D90FB4C0D8A1BFE6C15E532B4_12</vt:lpwstr>
  </property>
</Properties>
</file>