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ED88C" w14:textId="550E528F" w:rsidR="00B93453" w:rsidRPr="00B93453" w:rsidRDefault="00B93453" w:rsidP="00B93453">
      <w:pPr>
        <w:spacing w:line="276" w:lineRule="auto"/>
        <w:jc w:val="center"/>
        <w:rPr>
          <w:rFonts w:ascii="宋体" w:eastAsia="宋体" w:hAnsi="宋体"/>
          <w:b/>
          <w:bCs/>
          <w:sz w:val="28"/>
          <w:szCs w:val="32"/>
        </w:rPr>
      </w:pPr>
      <w:r w:rsidRPr="00B93453">
        <w:rPr>
          <w:rFonts w:ascii="宋体" w:eastAsia="宋体" w:hAnsi="宋体"/>
          <w:b/>
          <w:bCs/>
          <w:sz w:val="28"/>
          <w:szCs w:val="32"/>
        </w:rPr>
        <w:t>湾</w:t>
      </w:r>
      <w:proofErr w:type="gramStart"/>
      <w:r w:rsidRPr="00B93453">
        <w:rPr>
          <w:rFonts w:ascii="宋体" w:eastAsia="宋体" w:hAnsi="宋体"/>
          <w:b/>
          <w:bCs/>
          <w:sz w:val="28"/>
          <w:szCs w:val="32"/>
        </w:rPr>
        <w:t>区数谷宏远</w:t>
      </w:r>
      <w:proofErr w:type="gramEnd"/>
      <w:r w:rsidRPr="00B93453">
        <w:rPr>
          <w:rFonts w:ascii="宋体" w:eastAsia="宋体" w:hAnsi="宋体"/>
          <w:b/>
          <w:bCs/>
          <w:sz w:val="28"/>
          <w:szCs w:val="32"/>
        </w:rPr>
        <w:t>AI公司：产业与场景的组织匹配</w:t>
      </w:r>
    </w:p>
    <w:p w14:paraId="2DD646C8" w14:textId="1DBA559A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1.</w:t>
      </w:r>
      <w:r w:rsidRPr="00B93453">
        <w:rPr>
          <w:rFonts w:ascii="宋体" w:eastAsia="宋体" w:hAnsi="宋体"/>
          <w:sz w:val="28"/>
          <w:szCs w:val="32"/>
        </w:rPr>
        <w:t>案例概况</w:t>
      </w:r>
    </w:p>
    <w:p w14:paraId="10662AEB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湾区</w:t>
      </w:r>
      <w:proofErr w:type="gramStart"/>
      <w:r w:rsidRPr="00B93453">
        <w:rPr>
          <w:rFonts w:ascii="宋体" w:eastAsia="宋体" w:hAnsi="宋体"/>
          <w:sz w:val="24"/>
          <w:szCs w:val="28"/>
        </w:rPr>
        <w:t>数谷位于</w:t>
      </w:r>
      <w:proofErr w:type="gramEnd"/>
      <w:r w:rsidRPr="00B93453">
        <w:rPr>
          <w:rFonts w:ascii="宋体" w:eastAsia="宋体" w:hAnsi="宋体"/>
          <w:sz w:val="24"/>
          <w:szCs w:val="28"/>
        </w:rPr>
        <w:t>东莞南城，承担着数据要素产业集聚、人工智能应用和城市产业场景连接等功能。这里的“宏远AI”并不是一个单一法人主体，而是以宏远中天·AI产业中心为主要空间载体，叠加湾</w:t>
      </w:r>
      <w:proofErr w:type="gramStart"/>
      <w:r w:rsidRPr="00B93453">
        <w:rPr>
          <w:rFonts w:ascii="宋体" w:eastAsia="宋体" w:hAnsi="宋体"/>
          <w:sz w:val="24"/>
          <w:szCs w:val="28"/>
        </w:rPr>
        <w:t>区数谷示范</w:t>
      </w:r>
      <w:proofErr w:type="gramEnd"/>
      <w:r w:rsidRPr="00B93453">
        <w:rPr>
          <w:rFonts w:ascii="宋体" w:eastAsia="宋体" w:hAnsi="宋体"/>
          <w:sz w:val="24"/>
          <w:szCs w:val="28"/>
        </w:rPr>
        <w:t>园区及相关市级服务平台形成的产业组织空间。园区运营方、入驻企业和公共服务机构在功能上各有分工，后文分别讨论。</w:t>
      </w:r>
    </w:p>
    <w:p w14:paraId="3A893F0E" w14:textId="48F84F5E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宏远AI产业中心位于东莞市南城水濂山</w:t>
      </w:r>
      <w:proofErr w:type="gramStart"/>
      <w:r w:rsidRPr="00B93453">
        <w:rPr>
          <w:rFonts w:ascii="宋体" w:eastAsia="宋体" w:hAnsi="宋体"/>
          <w:sz w:val="24"/>
          <w:szCs w:val="28"/>
        </w:rPr>
        <w:t>科创路</w:t>
      </w:r>
      <w:proofErr w:type="gramEnd"/>
      <w:r w:rsidRPr="00B93453">
        <w:rPr>
          <w:rFonts w:ascii="宋体" w:eastAsia="宋体" w:hAnsi="宋体"/>
          <w:sz w:val="24"/>
          <w:szCs w:val="28"/>
        </w:rPr>
        <w:t>100号，单体项目约322亩，规划建筑面积约75万平方米，分三期开发。宏远AI中心与</w:t>
      </w:r>
      <w:proofErr w:type="gramStart"/>
      <w:r w:rsidRPr="00B93453">
        <w:rPr>
          <w:rFonts w:ascii="宋体" w:eastAsia="宋体" w:hAnsi="宋体"/>
          <w:sz w:val="24"/>
          <w:szCs w:val="28"/>
        </w:rPr>
        <w:t>中天联科</w:t>
      </w:r>
      <w:proofErr w:type="gramEnd"/>
      <w:r w:rsidRPr="00B93453">
        <w:rPr>
          <w:rFonts w:ascii="宋体" w:eastAsia="宋体" w:hAnsi="宋体"/>
          <w:sz w:val="24"/>
          <w:szCs w:val="28"/>
        </w:rPr>
        <w:t>共同形成约700亩的连片产业新城；湾</w:t>
      </w:r>
      <w:proofErr w:type="gramStart"/>
      <w:r w:rsidRPr="00B93453">
        <w:rPr>
          <w:rFonts w:ascii="宋体" w:eastAsia="宋体" w:hAnsi="宋体"/>
          <w:sz w:val="24"/>
          <w:szCs w:val="28"/>
        </w:rPr>
        <w:t>区数谷先行</w:t>
      </w:r>
      <w:proofErr w:type="gramEnd"/>
      <w:r w:rsidRPr="00B93453">
        <w:rPr>
          <w:rFonts w:ascii="宋体" w:eastAsia="宋体" w:hAnsi="宋体"/>
          <w:sz w:val="24"/>
          <w:szCs w:val="28"/>
        </w:rPr>
        <w:t>示范区整合的产业空间约50万平方米。</w:t>
      </w:r>
    </w:p>
    <w:p w14:paraId="1B7474BC" w14:textId="5600C633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南城的优势不在于单独提供办公场地。园区把产业招商、数据平台、场景开放、政策申报、人才服务和项目对接放在同一套服务体系中，试图把企业引进后的办公需求继续转化为技术合作和应用项目。对鸿蒙生态而言，这种组织方式比单纯增加企业数量更有价值：它能为设备接入、应用测试和社区服务寻找真实使用场景。</w:t>
      </w:r>
    </w:p>
    <w:p w14:paraId="71627BAE" w14:textId="4A94CD99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2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园区企业结构与鸿蒙、AI、数据产业基础</w:t>
      </w:r>
    </w:p>
    <w:p w14:paraId="6A2FC51C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园区入驻数据企业约40家，实际办公企业总量约50家。其中，数据资源、数据技术、数据应用和数据服务类企业约40家，其他企业主要提供金融、平台服务和产业配套。</w:t>
      </w:r>
    </w:p>
    <w:p w14:paraId="45A9A999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企业业务覆盖数据采集、数据治理、行业应用和数据服务。全民</w:t>
      </w:r>
      <w:proofErr w:type="gramStart"/>
      <w:r w:rsidRPr="00B93453">
        <w:rPr>
          <w:rFonts w:ascii="宋体" w:eastAsia="宋体" w:hAnsi="宋体"/>
          <w:sz w:val="24"/>
          <w:szCs w:val="28"/>
        </w:rPr>
        <w:t>通证数字</w:t>
      </w:r>
      <w:proofErr w:type="gramEnd"/>
      <w:r w:rsidRPr="00B93453">
        <w:rPr>
          <w:rFonts w:ascii="宋体" w:eastAsia="宋体" w:hAnsi="宋体"/>
          <w:sz w:val="24"/>
          <w:szCs w:val="28"/>
        </w:rPr>
        <w:t>科技（广东）有限公司主要承担数据服务和项目交付；东莞影身智能技术有限公司</w:t>
      </w:r>
      <w:proofErr w:type="gramStart"/>
      <w:r w:rsidRPr="00B93453">
        <w:rPr>
          <w:rFonts w:ascii="宋体" w:eastAsia="宋体" w:hAnsi="宋体"/>
          <w:sz w:val="24"/>
          <w:szCs w:val="28"/>
        </w:rPr>
        <w:t>侧重具身智能</w:t>
      </w:r>
      <w:proofErr w:type="gramEnd"/>
      <w:r w:rsidRPr="00B93453">
        <w:rPr>
          <w:rFonts w:ascii="宋体" w:eastAsia="宋体" w:hAnsi="宋体"/>
          <w:sz w:val="24"/>
          <w:szCs w:val="28"/>
        </w:rPr>
        <w:t>技术研发与应用；东莞市数据产业发展有限公司则集中在数据采集、治理、流通和安全运营等环节。三类企业分别对应项目交付、技术研发和数据基础服务，能够构成一定的产业链协作关系。</w:t>
      </w:r>
    </w:p>
    <w:p w14:paraId="18DC380A" w14:textId="1F83C558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园区还集聚了东莞市数据要素产业协会、深数所湾区服务创新中心、数字政府能力赋能中心、网络与数据安全保障服务中心等平台机构。它们提供行业组织、数据流通、合</w:t>
      </w:r>
      <w:proofErr w:type="gramStart"/>
      <w:r w:rsidRPr="00B93453">
        <w:rPr>
          <w:rFonts w:ascii="宋体" w:eastAsia="宋体" w:hAnsi="宋体"/>
          <w:sz w:val="24"/>
          <w:szCs w:val="28"/>
        </w:rPr>
        <w:t>规</w:t>
      </w:r>
      <w:proofErr w:type="gramEnd"/>
      <w:r w:rsidRPr="00B93453">
        <w:rPr>
          <w:rFonts w:ascii="宋体" w:eastAsia="宋体" w:hAnsi="宋体"/>
          <w:sz w:val="24"/>
          <w:szCs w:val="28"/>
        </w:rPr>
        <w:t>辅导、数字政府能力和安全保障服务。东莞农商银行科技金融中心的引入，则把数据产业与融资、金融服务联系起来。</w:t>
      </w:r>
    </w:p>
    <w:p w14:paraId="535E88DC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园区内AI企业主要按照主营业务、研发团队的技术背景，以及业务对大模型训练和</w:t>
      </w:r>
      <w:proofErr w:type="gramStart"/>
      <w:r w:rsidRPr="00B93453">
        <w:rPr>
          <w:rFonts w:ascii="宋体" w:eastAsia="宋体" w:hAnsi="宋体"/>
          <w:sz w:val="24"/>
          <w:szCs w:val="28"/>
        </w:rPr>
        <w:t>算力集群</w:t>
      </w:r>
      <w:proofErr w:type="gramEnd"/>
      <w:r w:rsidRPr="00B93453">
        <w:rPr>
          <w:rFonts w:ascii="宋体" w:eastAsia="宋体" w:hAnsi="宋体"/>
          <w:sz w:val="24"/>
          <w:szCs w:val="28"/>
        </w:rPr>
        <w:t>的依赖程度来判断。现有AI企业大多使用第三方大模型接口，自有算法或基础模型团队较少，业务重点集中在应用开发、行业解决方案和项目交付。园区的优势由此更接近“AI应用落地”，而不是基础模型研发。</w:t>
      </w:r>
    </w:p>
    <w:p w14:paraId="7E69D8CE" w14:textId="623CEA98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lastRenderedPageBreak/>
        <w:t>鸿蒙相关企业约5家，其中约2—3家能够继续开展产品适配，主体仍处于培训学习和技术接触阶段。鸿蒙在园区中承担的是一个应用入口：它可以连接智能终端、社区服务和园区管理，但尚不是园区最成熟的主营业务。</w:t>
      </w:r>
    </w:p>
    <w:p w14:paraId="01670924" w14:textId="009E52E4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3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企业与场景需求的征集机制</w:t>
      </w:r>
    </w:p>
    <w:p w14:paraId="68D66D23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园区企业主要通过</w:t>
      </w:r>
      <w:proofErr w:type="gramStart"/>
      <w:r w:rsidRPr="00B93453">
        <w:rPr>
          <w:rFonts w:ascii="宋体" w:eastAsia="宋体" w:hAnsi="宋体"/>
          <w:sz w:val="24"/>
          <w:szCs w:val="28"/>
        </w:rPr>
        <w:t>微信群</w:t>
      </w:r>
      <w:proofErr w:type="gramEnd"/>
      <w:r w:rsidRPr="00B93453">
        <w:rPr>
          <w:rFonts w:ascii="宋体" w:eastAsia="宋体" w:hAnsi="宋体"/>
          <w:sz w:val="24"/>
          <w:szCs w:val="28"/>
        </w:rPr>
        <w:t>和电话提交需求，运营团队负责企业联系、外部资源导入和产业链对接。过去一年主动走访企业约35家，覆盖数据、AI和平台服务等主要企业。</w:t>
      </w:r>
    </w:p>
    <w:p w14:paraId="0525C75D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场景需求有两条来源。一条来自政府部门、制造企业、商贸流通企业、应急管理和气象服务单位；另一条由园区根据企业已有产品、南城产业基础和区域发展重点主动寻找。过去两年形成的有效场景需求约20条，其中约5条已经具备较明确的应用单位或预算方向。工业制造、商贸流通、应急管理和气象服务，是目前较集中的应用领域。</w:t>
      </w:r>
    </w:p>
    <w:p w14:paraId="155DEC17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园区的需求匹配可以拆成四步。</w:t>
      </w:r>
      <w:proofErr w:type="gramStart"/>
      <w:r w:rsidRPr="00B93453">
        <w:rPr>
          <w:rFonts w:ascii="宋体" w:eastAsia="宋体" w:hAnsi="宋体"/>
          <w:sz w:val="24"/>
          <w:szCs w:val="28"/>
        </w:rPr>
        <w:t>微信群</w:t>
      </w:r>
      <w:proofErr w:type="gramEnd"/>
      <w:r w:rsidRPr="00B93453">
        <w:rPr>
          <w:rFonts w:ascii="宋体" w:eastAsia="宋体" w:hAnsi="宋体"/>
          <w:sz w:val="24"/>
          <w:szCs w:val="28"/>
        </w:rPr>
        <w:t>、电话、走访和活动负责收集需求；企业技术、数据、人才和交付能力决定初步分类；赛事、专家辅导、产业联盟和一对一沟通负责撮合；企业与场景方再确认PoC、合同、部署和验收条件。有效需求从提交</w:t>
      </w:r>
      <w:proofErr w:type="gramStart"/>
      <w:r w:rsidRPr="00B93453">
        <w:rPr>
          <w:rFonts w:ascii="宋体" w:eastAsia="宋体" w:hAnsi="宋体"/>
          <w:sz w:val="24"/>
          <w:szCs w:val="28"/>
        </w:rPr>
        <w:t>到首次</w:t>
      </w:r>
      <w:proofErr w:type="gramEnd"/>
      <w:r w:rsidRPr="00B93453">
        <w:rPr>
          <w:rFonts w:ascii="宋体" w:eastAsia="宋体" w:hAnsi="宋体"/>
          <w:sz w:val="24"/>
          <w:szCs w:val="28"/>
        </w:rPr>
        <w:t>匹配通常需要1—2周，复杂项目的方案反馈约需1个月。</w:t>
      </w:r>
    </w:p>
    <w:p w14:paraId="1F432788" w14:textId="50C9A146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产业图谱、重点项目跟踪和政企联合招商，为需求登记与项目跟进提供了基础。下一步需要把这些工作固化为统一台账，至少记录需求提出方、预算方向、匹配企业、当前阶段和下一次跟进时间。</w:t>
      </w:r>
    </w:p>
    <w:p w14:paraId="0A7F17A7" w14:textId="620BB410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4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供需对接活动与项目转化</w:t>
      </w:r>
    </w:p>
    <w:p w14:paraId="48BB2507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2025年7月18日，宏远中天AI产业中心举行“数据要素×”大赛广东分赛东莞赛站宣贯会暨专家辅导会，80余家企业、超过150人参加，东莞联通现场介绍了10多个参赛项目。2025年9月，东莞市数据产业集聚区建设启动</w:t>
      </w:r>
      <w:proofErr w:type="gramStart"/>
      <w:r w:rsidRPr="00B93453">
        <w:rPr>
          <w:rFonts w:ascii="宋体" w:eastAsia="宋体" w:hAnsi="宋体"/>
          <w:sz w:val="24"/>
          <w:szCs w:val="28"/>
        </w:rPr>
        <w:t>暨湾区数谷</w:t>
      </w:r>
      <w:proofErr w:type="gramEnd"/>
      <w:r w:rsidRPr="00B93453">
        <w:rPr>
          <w:rFonts w:ascii="宋体" w:eastAsia="宋体" w:hAnsi="宋体"/>
          <w:sz w:val="24"/>
          <w:szCs w:val="28"/>
        </w:rPr>
        <w:t>揭牌活动举行，数据产业发展公司、产业协会、交易服务和安全保障平台进一步集中。过去两年，各类供需对接、赛事辅导和产业交流活动约9场，其中约4场具有明确的项目撮合性质。</w:t>
      </w:r>
    </w:p>
    <w:p w14:paraId="4E8862B2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活动把数据企业、通信运营商、专家和场景方聚到一起，再通过专家辅导、资源对接和政策支持推进项目成熟。赛事提供“算力+算法+数据+交易”服务，数据产品孵化、流通交易、合</w:t>
      </w:r>
      <w:proofErr w:type="gramStart"/>
      <w:r w:rsidRPr="00B93453">
        <w:rPr>
          <w:rFonts w:ascii="宋体" w:eastAsia="宋体" w:hAnsi="宋体"/>
          <w:sz w:val="24"/>
          <w:szCs w:val="28"/>
        </w:rPr>
        <w:t>规</w:t>
      </w:r>
      <w:proofErr w:type="gramEnd"/>
      <w:r w:rsidRPr="00B93453">
        <w:rPr>
          <w:rFonts w:ascii="宋体" w:eastAsia="宋体" w:hAnsi="宋体"/>
          <w:sz w:val="24"/>
          <w:szCs w:val="28"/>
        </w:rPr>
        <w:t>辅导和资产登记也被纳入配套环节。</w:t>
      </w:r>
    </w:p>
    <w:p w14:paraId="613F28BE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持续跟进的一对一供需</w:t>
      </w:r>
      <w:proofErr w:type="gramStart"/>
      <w:r w:rsidRPr="00B93453">
        <w:rPr>
          <w:rFonts w:ascii="宋体" w:eastAsia="宋体" w:hAnsi="宋体"/>
          <w:sz w:val="24"/>
          <w:szCs w:val="28"/>
        </w:rPr>
        <w:t>关系约</w:t>
      </w:r>
      <w:proofErr w:type="gramEnd"/>
      <w:r w:rsidRPr="00B93453">
        <w:rPr>
          <w:rFonts w:ascii="宋体" w:eastAsia="宋体" w:hAnsi="宋体"/>
          <w:sz w:val="24"/>
          <w:szCs w:val="28"/>
        </w:rPr>
        <w:t>10组，其中约5组形成书面或框架性合作意向。过去两年的项目漏斗大致表现为：原始需求约30条，有效需求约20条，完成匹配约12条，形成意向约5条，开展PoC约3条，签订正式合同约2条，完成部署约1—2条。园区2026年提出全年落地5个应用场景、孵化10个以上数据</w:t>
      </w:r>
      <w:r w:rsidRPr="00B93453">
        <w:rPr>
          <w:rFonts w:ascii="宋体" w:eastAsia="宋体" w:hAnsi="宋体"/>
          <w:sz w:val="24"/>
          <w:szCs w:val="28"/>
        </w:rPr>
        <w:lastRenderedPageBreak/>
        <w:t>产品、挂牌30个以上数据产品、推动5项以上数据资产入表，这些属于后续工作目标。</w:t>
      </w:r>
    </w:p>
    <w:p w14:paraId="0EC93548" w14:textId="1312BC2C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这组数字说明，园区的活动组织能力已经形成，但商业转化仍然集中在需求匹配和早期验证阶段。合同、部署和验收之间还存在明显的项目筛选与交付过程。园区需要为有效需求、合作意向、PoC、正式合同和实际落地分别设置定义，避免把参赛、签约和上线混为一谈。</w:t>
      </w:r>
    </w:p>
    <w:p w14:paraId="72E4CF21" w14:textId="1790E8E6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5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企业最需要的政策、市场与人才服务</w:t>
      </w:r>
    </w:p>
    <w:p w14:paraId="4EEB1C6C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初创企业首先关注低成本运营、办公空间、政策申报和早期客户；成熟企业更关心人才招聘、上下游产业链、稳定订单和项目交付。南城提供梯度租金、人才安居、融资支持、政策申报、产业链对接和场景开放，这些服务分别对应企业不同阶段的压力。</w:t>
      </w:r>
    </w:p>
    <w:p w14:paraId="2CAE49C1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过去一年，园区协助企业申报政策、赛事和项目约15家，其中约8家获得阶段性支持或入围。数据要素赛事提供“首评估、首入表、首开放”等辅导，部分项目资助上限为10万元；国家或省级人工智能赋能新型工业化典型应用案例的资助上限为100万元。</w:t>
      </w:r>
    </w:p>
    <w:p w14:paraId="355047E2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人才缺口集中在AI算法、大数据治理和项目交付岗位，合计约15—20人；具备鸿蒙应用开发和设备接入经验的岗位缺口约5人。</w:t>
      </w:r>
      <w:proofErr w:type="gramStart"/>
      <w:r w:rsidRPr="00B93453">
        <w:rPr>
          <w:rFonts w:ascii="宋体" w:eastAsia="宋体" w:hAnsi="宋体"/>
          <w:sz w:val="24"/>
          <w:szCs w:val="28"/>
        </w:rPr>
        <w:t>园区日均</w:t>
      </w:r>
      <w:proofErr w:type="gramEnd"/>
      <w:r w:rsidRPr="00B93453">
        <w:rPr>
          <w:rFonts w:ascii="宋体" w:eastAsia="宋体" w:hAnsi="宋体"/>
          <w:sz w:val="24"/>
          <w:szCs w:val="28"/>
        </w:rPr>
        <w:t>有上千名科技工作者办公，并配套668套青年人才公寓，提供拎包入住、租金优惠、管家服务以及落户和子女教育等服务。人才公寓解决了居住成本，项目型人才的持续</w:t>
      </w:r>
      <w:proofErr w:type="gramStart"/>
      <w:r w:rsidRPr="00B93453">
        <w:rPr>
          <w:rFonts w:ascii="宋体" w:eastAsia="宋体" w:hAnsi="宋体"/>
          <w:sz w:val="24"/>
          <w:szCs w:val="28"/>
        </w:rPr>
        <w:t>供给仍</w:t>
      </w:r>
      <w:proofErr w:type="gramEnd"/>
      <w:r w:rsidRPr="00B93453">
        <w:rPr>
          <w:rFonts w:ascii="宋体" w:eastAsia="宋体" w:hAnsi="宋体"/>
          <w:sz w:val="24"/>
          <w:szCs w:val="28"/>
        </w:rPr>
        <w:t>取决于培训和业务机会。</w:t>
      </w:r>
    </w:p>
    <w:p w14:paraId="22993B8D" w14:textId="1129FE70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鸿蒙社区试点还需要场景调研、设备接入、应用测试、运维和用户培训人员。智能家居、养老服务、物业管理和公共安全场景涉及数据授权、隐私保护、故障响应和售后责任，园区需要把这些内容写入项目方案，而不是只完成设备和应用的技术接入。</w:t>
      </w:r>
    </w:p>
    <w:p w14:paraId="7FFA94EE" w14:textId="559F67DF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6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湾</w:t>
      </w:r>
      <w:proofErr w:type="gramStart"/>
      <w:r w:rsidRPr="00B93453">
        <w:rPr>
          <w:rFonts w:ascii="宋体" w:eastAsia="宋体" w:hAnsi="宋体"/>
          <w:sz w:val="28"/>
          <w:szCs w:val="32"/>
        </w:rPr>
        <w:t>区数谷与</w:t>
      </w:r>
      <w:proofErr w:type="gramEnd"/>
      <w:r w:rsidRPr="00B93453">
        <w:rPr>
          <w:rFonts w:ascii="宋体" w:eastAsia="宋体" w:hAnsi="宋体"/>
          <w:sz w:val="28"/>
          <w:szCs w:val="32"/>
        </w:rPr>
        <w:t>松山湖、滨海湾的功能差异</w:t>
      </w:r>
    </w:p>
    <w:p w14:paraId="4B307A0D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三个区域承担的产业环节不同。湾</w:t>
      </w:r>
      <w:proofErr w:type="gramStart"/>
      <w:r w:rsidRPr="00B93453">
        <w:rPr>
          <w:rFonts w:ascii="宋体" w:eastAsia="宋体" w:hAnsi="宋体"/>
          <w:sz w:val="24"/>
          <w:szCs w:val="28"/>
        </w:rPr>
        <w:t>区数谷依托</w:t>
      </w:r>
      <w:proofErr w:type="gramEnd"/>
      <w:r w:rsidRPr="00B93453">
        <w:rPr>
          <w:rFonts w:ascii="宋体" w:eastAsia="宋体" w:hAnsi="宋体"/>
          <w:sz w:val="24"/>
          <w:szCs w:val="28"/>
        </w:rPr>
        <w:t>南城的中心城区、软件信息产业、金融商贸服务和市级数据平台，重点承担数据要素、AI应用、数字政府和城市产业场景的组织与转化；松山湖更适合研发、技术攻关和中试；滨海湾则承担总部经济、综合承载和面向湾区的区位功能。</w:t>
      </w:r>
    </w:p>
    <w:p w14:paraId="1DC72DD9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湾区</w:t>
      </w:r>
      <w:proofErr w:type="gramStart"/>
      <w:r w:rsidRPr="00B93453">
        <w:rPr>
          <w:rFonts w:ascii="宋体" w:eastAsia="宋体" w:hAnsi="宋体"/>
          <w:sz w:val="24"/>
          <w:szCs w:val="28"/>
        </w:rPr>
        <w:t>数谷把</w:t>
      </w:r>
      <w:proofErr w:type="gramEnd"/>
      <w:r w:rsidRPr="00B93453">
        <w:rPr>
          <w:rFonts w:ascii="宋体" w:eastAsia="宋体" w:hAnsi="宋体"/>
          <w:sz w:val="24"/>
          <w:szCs w:val="28"/>
        </w:rPr>
        <w:t>数据资源、数据交易、产业赋能、安全保障和城市服务场景放入同一服务网络。东莞制造业积累的工业数据，加上南城的软件信息企业基础，使数据采集、治理、合</w:t>
      </w:r>
      <w:proofErr w:type="gramStart"/>
      <w:r w:rsidRPr="00B93453">
        <w:rPr>
          <w:rFonts w:ascii="宋体" w:eastAsia="宋体" w:hAnsi="宋体"/>
          <w:sz w:val="24"/>
          <w:szCs w:val="28"/>
        </w:rPr>
        <w:t>规</w:t>
      </w:r>
      <w:proofErr w:type="gramEnd"/>
      <w:r w:rsidRPr="00B93453">
        <w:rPr>
          <w:rFonts w:ascii="宋体" w:eastAsia="宋体" w:hAnsi="宋体"/>
          <w:sz w:val="24"/>
          <w:szCs w:val="28"/>
        </w:rPr>
        <w:t>、交易和应用有条件形成连续链条。</w:t>
      </w:r>
    </w:p>
    <w:p w14:paraId="7D36B199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部分企业总部位于松山湖，业务和技术人员在南城办公。研发工作依托松山湖</w:t>
      </w:r>
      <w:r w:rsidRPr="00B93453">
        <w:rPr>
          <w:rFonts w:ascii="宋体" w:eastAsia="宋体" w:hAnsi="宋体"/>
          <w:sz w:val="24"/>
          <w:szCs w:val="28"/>
        </w:rPr>
        <w:lastRenderedPageBreak/>
        <w:t>的科研和中试条件，业务开展则更接近南城的客户、金融机构、商贸服务和城市公共资源。宏远AI园区提供青年人才公寓，也增强了南城</w:t>
      </w:r>
      <w:proofErr w:type="gramStart"/>
      <w:r w:rsidRPr="00B93453">
        <w:rPr>
          <w:rFonts w:ascii="宋体" w:eastAsia="宋体" w:hAnsi="宋体"/>
          <w:sz w:val="24"/>
          <w:szCs w:val="28"/>
        </w:rPr>
        <w:t>在职住</w:t>
      </w:r>
      <w:proofErr w:type="gramEnd"/>
      <w:r w:rsidRPr="00B93453">
        <w:rPr>
          <w:rFonts w:ascii="宋体" w:eastAsia="宋体" w:hAnsi="宋体"/>
          <w:sz w:val="24"/>
          <w:szCs w:val="28"/>
        </w:rPr>
        <w:t>平衡和人才留存方面的吸引力。</w:t>
      </w:r>
    </w:p>
    <w:p w14:paraId="1A38DC07" w14:textId="7CA9979B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湾</w:t>
      </w:r>
      <w:proofErr w:type="gramStart"/>
      <w:r w:rsidRPr="00B93453">
        <w:rPr>
          <w:rFonts w:ascii="宋体" w:eastAsia="宋体" w:hAnsi="宋体"/>
          <w:sz w:val="24"/>
          <w:szCs w:val="28"/>
        </w:rPr>
        <w:t>区数谷应</w:t>
      </w:r>
      <w:proofErr w:type="gramEnd"/>
      <w:r w:rsidRPr="00B93453">
        <w:rPr>
          <w:rFonts w:ascii="宋体" w:eastAsia="宋体" w:hAnsi="宋体"/>
          <w:sz w:val="24"/>
          <w:szCs w:val="28"/>
        </w:rPr>
        <w:t>定位为“数据服务与场景应用先行示范区”。它与松山湖连接技术研发和中试成果，与滨海湾连接总部、客户和区域市场，承担技术成果进入具体业务的中间环节。</w:t>
      </w:r>
    </w:p>
    <w:p w14:paraId="0C713DDB" w14:textId="4E3580FD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7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对鸿蒙社区试点的支持条件与实施建议</w:t>
      </w:r>
    </w:p>
    <w:p w14:paraId="6F5EB167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湾区</w:t>
      </w:r>
      <w:proofErr w:type="gramStart"/>
      <w:r w:rsidRPr="00B93453">
        <w:rPr>
          <w:rFonts w:ascii="宋体" w:eastAsia="宋体" w:hAnsi="宋体"/>
          <w:sz w:val="24"/>
          <w:szCs w:val="28"/>
        </w:rPr>
        <w:t>数谷可以</w:t>
      </w:r>
      <w:proofErr w:type="gramEnd"/>
      <w:r w:rsidRPr="00B93453">
        <w:rPr>
          <w:rFonts w:ascii="宋体" w:eastAsia="宋体" w:hAnsi="宋体"/>
          <w:sz w:val="24"/>
          <w:szCs w:val="28"/>
        </w:rPr>
        <w:t>承担产业组织、场景匹配和项目服务。数据企业、AI企业、通信运营商、公共服务平台和政府部门都能成为园区的合作对象；赛事、专家辅导和产业对接活动，则提供了项目筛选和资源组合的现成渠道。南城的社区、商贸和园区服务场景，也便于开展小范围验证。</w:t>
      </w:r>
    </w:p>
    <w:p w14:paraId="1EC8BB20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首批试点可选择四类场景：</w:t>
      </w:r>
    </w:p>
    <w:p w14:paraId="15BF7419" w14:textId="77777777" w:rsidR="00B93453" w:rsidRPr="00B93453" w:rsidRDefault="00B93453" w:rsidP="00B93453">
      <w:pPr>
        <w:numPr>
          <w:ilvl w:val="0"/>
          <w:numId w:val="1"/>
        </w:num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独居老人和重点人群安全关怀，连接鸿蒙设备、传感器和家庭服务；</w:t>
      </w:r>
    </w:p>
    <w:p w14:paraId="6CD5A2C5" w14:textId="77777777" w:rsidR="00B93453" w:rsidRPr="00B93453" w:rsidRDefault="00B93453" w:rsidP="00B93453">
      <w:pPr>
        <w:numPr>
          <w:ilvl w:val="0"/>
          <w:numId w:val="1"/>
        </w:num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园区或社区智慧物业，联动访客、报修、能耗和公共设施；</w:t>
      </w:r>
    </w:p>
    <w:p w14:paraId="5AD2488A" w14:textId="77777777" w:rsidR="00B93453" w:rsidRPr="00B93453" w:rsidRDefault="00B93453" w:rsidP="00B93453">
      <w:pPr>
        <w:numPr>
          <w:ilvl w:val="0"/>
          <w:numId w:val="1"/>
        </w:num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社区便民服务，连接政务、医疗、家政、养老和商贸服务；</w:t>
      </w:r>
    </w:p>
    <w:p w14:paraId="5035C267" w14:textId="77777777" w:rsidR="00B93453" w:rsidRPr="00B93453" w:rsidRDefault="00B93453" w:rsidP="00B93453">
      <w:pPr>
        <w:numPr>
          <w:ilvl w:val="0"/>
          <w:numId w:val="1"/>
        </w:num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人才公寓智能居住，联动门禁、能耗、环境和物业服务。</w:t>
      </w:r>
    </w:p>
    <w:p w14:paraId="396FD551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试点先完成一个场景方、一套鸿蒙应用或设备组合，以及数据授权和运维规则。园区负责场景征集、企业筛选、政策申报、商务对接和项目跟踪；鸿蒙适配机构负责技术适配、测试认证和设备接入；入驻企业负责产品开发和交付；社区、物业或政府部门负责场景开放、用户组织和效果评价。</w:t>
      </w:r>
    </w:p>
    <w:p w14:paraId="682FD731" w14:textId="0E5F64C5" w:rsidR="00B93453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项目评价分为需求确认、技术PoC、部署上线、稳定运行和用户验收五个阶段。社区试点还应记录用户使用率、故障响应时间、居民满意度、数据安全事件和运维成本。只有完成上线并稳定运行的项目，才计入实际落地项目。</w:t>
      </w:r>
    </w:p>
    <w:p w14:paraId="3A444558" w14:textId="4A616197" w:rsidR="00B93453" w:rsidRPr="00B93453" w:rsidRDefault="00B93453" w:rsidP="00B93453">
      <w:pPr>
        <w:spacing w:line="276" w:lineRule="auto"/>
        <w:rPr>
          <w:rFonts w:ascii="宋体" w:eastAsia="宋体" w:hAnsi="宋体"/>
          <w:sz w:val="28"/>
          <w:szCs w:val="32"/>
        </w:rPr>
      </w:pPr>
      <w:r w:rsidRPr="00B93453">
        <w:rPr>
          <w:rFonts w:ascii="宋体" w:eastAsia="宋体" w:hAnsi="宋体"/>
          <w:sz w:val="28"/>
          <w:szCs w:val="32"/>
        </w:rPr>
        <w:t>8</w:t>
      </w:r>
      <w:r w:rsidRPr="00B93453">
        <w:rPr>
          <w:rFonts w:ascii="宋体" w:eastAsia="宋体" w:hAnsi="宋体" w:hint="eastAsia"/>
          <w:sz w:val="28"/>
          <w:szCs w:val="32"/>
        </w:rPr>
        <w:t>.</w:t>
      </w:r>
      <w:r w:rsidRPr="00B93453">
        <w:rPr>
          <w:rFonts w:ascii="宋体" w:eastAsia="宋体" w:hAnsi="宋体"/>
          <w:sz w:val="28"/>
          <w:szCs w:val="32"/>
        </w:rPr>
        <w:t>案例小结</w:t>
      </w:r>
    </w:p>
    <w:p w14:paraId="68251CC1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湾</w:t>
      </w:r>
      <w:proofErr w:type="gramStart"/>
      <w:r w:rsidRPr="00B93453">
        <w:rPr>
          <w:rFonts w:ascii="宋体" w:eastAsia="宋体" w:hAnsi="宋体"/>
          <w:sz w:val="24"/>
          <w:szCs w:val="28"/>
        </w:rPr>
        <w:t>区数谷宏远</w:t>
      </w:r>
      <w:proofErr w:type="gramEnd"/>
      <w:r w:rsidRPr="00B93453">
        <w:rPr>
          <w:rFonts w:ascii="宋体" w:eastAsia="宋体" w:hAnsi="宋体"/>
          <w:sz w:val="24"/>
          <w:szCs w:val="28"/>
        </w:rPr>
        <w:t>AI案例显示，鸿蒙生态进入产业和社区，靠的不只是单个企业的开发能力。数据企业、AI企业、场景方、平台机构和园区运营团队之间，需要有一套能把需求推进到交付的工作机制。</w:t>
      </w:r>
    </w:p>
    <w:p w14:paraId="72CD0581" w14:textId="77777777" w:rsidR="00B93453" w:rsidRPr="00B93453" w:rsidRDefault="00B93453" w:rsidP="00B93453">
      <w:pPr>
        <w:spacing w:line="276" w:lineRule="auto"/>
        <w:rPr>
          <w:rFonts w:ascii="宋体" w:eastAsia="宋体" w:hAnsi="宋体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t>园区已具备数据产业集聚、公共平台协同和应用场景导入能力。接触鸿蒙技术的企业约5家，过去两年完成部署的相关项目约1—2个，鸿蒙商业</w:t>
      </w:r>
      <w:proofErr w:type="gramStart"/>
      <w:r w:rsidRPr="00B93453">
        <w:rPr>
          <w:rFonts w:ascii="宋体" w:eastAsia="宋体" w:hAnsi="宋体"/>
          <w:sz w:val="24"/>
          <w:szCs w:val="28"/>
        </w:rPr>
        <w:t>交付仍</w:t>
      </w:r>
      <w:proofErr w:type="gramEnd"/>
      <w:r w:rsidRPr="00B93453">
        <w:rPr>
          <w:rFonts w:ascii="宋体" w:eastAsia="宋体" w:hAnsi="宋体"/>
          <w:sz w:val="24"/>
          <w:szCs w:val="28"/>
        </w:rPr>
        <w:t>处于起步阶段。当前最值得继续建设的，不是增加活动数量，而是完善</w:t>
      </w:r>
      <w:proofErr w:type="gramStart"/>
      <w:r w:rsidRPr="00B93453">
        <w:rPr>
          <w:rFonts w:ascii="宋体" w:eastAsia="宋体" w:hAnsi="宋体"/>
          <w:sz w:val="24"/>
          <w:szCs w:val="28"/>
        </w:rPr>
        <w:t>项目台</w:t>
      </w:r>
      <w:proofErr w:type="gramEnd"/>
      <w:r w:rsidRPr="00B93453">
        <w:rPr>
          <w:rFonts w:ascii="宋体" w:eastAsia="宋体" w:hAnsi="宋体"/>
          <w:sz w:val="24"/>
          <w:szCs w:val="28"/>
        </w:rPr>
        <w:t>账、明确阶段定义、跟踪合同履约和长期运维结果。</w:t>
      </w:r>
    </w:p>
    <w:p w14:paraId="4F01658C" w14:textId="76C06B77" w:rsidR="00B11D79" w:rsidRPr="00B93453" w:rsidRDefault="00B93453" w:rsidP="00B93453">
      <w:pPr>
        <w:spacing w:line="276" w:lineRule="auto"/>
        <w:rPr>
          <w:rFonts w:ascii="宋体" w:eastAsia="宋体" w:hAnsi="宋体" w:hint="eastAsia"/>
          <w:sz w:val="24"/>
          <w:szCs w:val="28"/>
        </w:rPr>
      </w:pPr>
      <w:r w:rsidRPr="00B93453">
        <w:rPr>
          <w:rFonts w:ascii="宋体" w:eastAsia="宋体" w:hAnsi="宋体"/>
          <w:sz w:val="24"/>
          <w:szCs w:val="28"/>
        </w:rPr>
        <w:lastRenderedPageBreak/>
        <w:t>对东莞鸿蒙生态而言，湾区</w:t>
      </w:r>
      <w:proofErr w:type="gramStart"/>
      <w:r w:rsidRPr="00B93453">
        <w:rPr>
          <w:rFonts w:ascii="宋体" w:eastAsia="宋体" w:hAnsi="宋体"/>
          <w:sz w:val="24"/>
          <w:szCs w:val="28"/>
        </w:rPr>
        <w:t>数谷提供</w:t>
      </w:r>
      <w:proofErr w:type="gramEnd"/>
      <w:r w:rsidRPr="00B93453">
        <w:rPr>
          <w:rFonts w:ascii="宋体" w:eastAsia="宋体" w:hAnsi="宋体"/>
          <w:sz w:val="24"/>
          <w:szCs w:val="28"/>
        </w:rPr>
        <w:t>了一条“数据与AI产业平台承接需求、鸿蒙技术进入终端场景”的转化路径。社区小场景可以作为下一步验证入口：居民是否愿意使用，物业能否维护，企业能否持续交付，这些问题比一次签约或一次展示更能说明试点是否成立。</w:t>
      </w:r>
    </w:p>
    <w:sectPr w:rsidR="00B11D79" w:rsidRPr="00B93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576C8"/>
    <w:multiLevelType w:val="multilevel"/>
    <w:tmpl w:val="423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55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12"/>
    <w:rsid w:val="0021068E"/>
    <w:rsid w:val="00A16A12"/>
    <w:rsid w:val="00A80077"/>
    <w:rsid w:val="00B11D79"/>
    <w:rsid w:val="00B93453"/>
    <w:rsid w:val="00C5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661E6"/>
  <w15:chartTrackingRefBased/>
  <w15:docId w15:val="{B14189A8-7741-4927-A03E-68F7C709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6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A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A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A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A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A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A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A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A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A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6A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A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A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A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A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A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A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A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Willfulchip</dc:creator>
  <cp:keywords/>
  <dc:description/>
  <cp:lastModifiedBy>- Willfulchip</cp:lastModifiedBy>
  <cp:revision>2</cp:revision>
  <dcterms:created xsi:type="dcterms:W3CDTF">2026-08-16T08:48:00Z</dcterms:created>
  <dcterms:modified xsi:type="dcterms:W3CDTF">2026-08-16T08:53:00Z</dcterms:modified>
</cp:coreProperties>
</file>