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20"/>
        <w:jc w:val="center"/>
      </w:pPr>
      <w:r>
        <w:rPr>
          <w:rFonts w:ascii="Times New Roman" w:eastAsia="宋体" w:hAnsi="Times New Roman"/>
          <w:b/>
          <w:bCs/>
          <w:sz w:val="32"/>
          <w:szCs w:val="32"/>
        </w:rPr>
        <w:t>7.31实践心得</w:t>
      </w:r>
    </w:p>
    <w:p>
      <w:pPr>
        <w:spacing w:after="320"/>
      </w:pPr>
    </w:p>
    <w:p>
      <w:pPr>
        <w:spacing w:after="320"/>
      </w:pPr>
    </w:p>
    <w:p>
      <w:pPr>
        <w:spacing w:before="320" w:after="160"/>
      </w:pPr>
      <w:r>
        <w:rPr>
          <w:rFonts w:ascii="Times New Roman" w:eastAsia="宋体" w:hAnsi="Times New Roman"/>
          <w:b/>
          <w:bCs/>
          <w:sz w:val="28"/>
          <w:szCs w:val="28"/>
        </w:rPr>
        <w:t>一、实践概况</w:t>
      </w:r>
    </w:p>
    <w:p>
      <w:pPr>
        <w:spacing w:after="200" w:line="360" w:lineRule="auto"/>
        <w:ind w:firstLine="480"/>
        <w:jc w:val="both"/>
      </w:pPr>
      <w:r>
        <w:rPr>
          <w:rFonts w:ascii="Times New Roman" w:eastAsia="宋体" w:hAnsi="Times New Roman"/>
          <w:b w:val="0"/>
          <w:bCs w:val="0"/>
          <w:sz w:val="24"/>
          <w:szCs w:val="24"/>
        </w:rPr>
        <w:t>本日调研主题为“数字经济＋智慧政务”，全天行程分为上、下午两个部分：上午前往东莞市南城街道联科国际信息产业园（“湾区数谷”），以学习参访身份了解鸿蒙生态与数字经济产业的集聚逻辑；下午前往南城鸿福路东莞市民服务中心，在专员带领下参观并实测全省首个“鸿蒙AI智办体验区”，重点考察鸿蒙终端在政务服务场景中的落地应用与市民使用体验。上午行程以园区参观与座谈交流为主，下午行程以专员讲解与现场体验相结合，两者分别对应产业供给侧与政务应用侧的不同视角，共同构成对鸿蒙生态“从产业布局到场景落地”的完整认识。</w:t>
      </w:r>
    </w:p>
    <w:p>
      <w:pPr>
        <w:spacing w:before="320" w:after="160"/>
      </w:pPr>
      <w:r>
        <w:rPr>
          <w:rFonts w:ascii="Times New Roman" w:eastAsia="宋体" w:hAnsi="Times New Roman"/>
          <w:b/>
          <w:bCs/>
          <w:sz w:val="28"/>
          <w:szCs w:val="28"/>
        </w:rPr>
        <w:t>二、上午：湾区数谷参访学习</w:t>
      </w:r>
    </w:p>
    <w:p>
      <w:pPr>
        <w:spacing w:before="200" w:after="120"/>
        <w:ind w:firstLine="480"/>
      </w:pPr>
      <w:r>
        <w:rPr>
          <w:rFonts w:ascii="Times New Roman" w:eastAsia="宋体" w:hAnsi="Times New Roman"/>
          <w:b/>
          <w:bCs/>
          <w:sz w:val="24"/>
          <w:szCs w:val="24"/>
        </w:rPr>
        <w:t>（一）园区概况与产业集聚模式</w:t>
      </w:r>
    </w:p>
    <w:p>
      <w:pPr>
        <w:spacing w:after="200" w:line="360" w:lineRule="auto"/>
        <w:ind w:firstLine="480"/>
        <w:jc w:val="both"/>
      </w:pPr>
      <w:r>
        <w:rPr>
          <w:rFonts w:ascii="Times New Roman" w:eastAsia="宋体" w:hAnsi="Times New Roman"/>
          <w:b w:val="0"/>
          <w:bCs w:val="0"/>
          <w:sz w:val="24"/>
          <w:szCs w:val="24"/>
        </w:rPr>
        <w:t>“湾区数谷”是南城街道在东莞国际商务区（CBD）规划范围内打造的数字经济产业集聚区，涵盖联科国际信息产业园、宏远AI产业园等多个载体。据现场介绍，园区自建成以来已引入数百家科技型企业，涉及研发、总部经济、信息服务等多个方向，具备科技研发与总部集聚的双重功能定位。南城作为东莞的行政与金融中心，在整体产业分工中承担“总部＋服务”功能，与松山湖“研发＋制造”的定位形成互补，这一分工逻辑也是“湾区数谷”区别于其他鸿蒙产业园区的差异化所在。</w:t>
      </w:r>
    </w:p>
    <w:p>
      <w:pPr>
        <w:spacing w:after="200" w:line="360" w:lineRule="auto"/>
        <w:ind w:firstLine="480"/>
        <w:jc w:val="both"/>
      </w:pPr>
      <w:r>
        <w:rPr>
          <w:rFonts w:ascii="Times New Roman" w:eastAsia="宋体" w:hAnsi="Times New Roman"/>
          <w:b w:val="0"/>
          <w:bCs w:val="0"/>
          <w:sz w:val="24"/>
          <w:szCs w:val="24"/>
        </w:rPr>
        <w:t>座谈中了解到，园区之所以能够吸引企业集聚，很大程度上得益于地方政府在资金层面的扶持，即通过“数字经济十条”等配套政策，为入驻的数字经济、鸿蒙生态相关企业提供财政资金支持，以降低企业落地初期的成本压力，从而吸引更多企业共同参与产业生态的建设。这种“以政策资金撬动企业集聚”的模式，是理解湾区数谷产业逻辑的关键线索。</w:t>
      </w:r>
    </w:p>
    <w:p>
      <w:pPr>
        <w:spacing w:before="200" w:after="120"/>
        <w:ind w:firstLine="480"/>
      </w:pPr>
      <w:r>
        <w:rPr>
          <w:rFonts w:ascii="Times New Roman" w:eastAsia="宋体" w:hAnsi="Times New Roman"/>
          <w:b/>
          <w:bCs/>
          <w:sz w:val="24"/>
          <w:szCs w:val="24"/>
        </w:rPr>
        <w:t>（二）典型应用案例</w:t>
      </w:r>
    </w:p>
    <w:p>
      <w:pPr>
        <w:spacing w:after="200" w:line="360" w:lineRule="auto"/>
        <w:ind w:firstLine="480"/>
        <w:jc w:val="both"/>
      </w:pPr>
      <w:r>
        <w:rPr>
          <w:rFonts w:ascii="Times New Roman" w:eastAsia="宋体" w:hAnsi="Times New Roman"/>
          <w:b w:val="0"/>
          <w:bCs w:val="0"/>
          <w:sz w:val="24"/>
          <w:szCs w:val="24"/>
        </w:rPr>
        <w:t>参访过程中，园区方重点介绍了两类较具代表性的数字经济应用场景。其一是美宜佳的数据中心项目，其在园区内的落地体现了传统零售企业向数字化、集约化数据管理转型的趋势，也反映出湾区数谷在吸引大型企业数据基础设施项目方面的承载能力。其二是银行信贷风控场景中的数据应用：金融机构在为企业提供贷款审批时，可以通过调取企业的用水量、用电量等能耗数据，间接推算企业的实际经营规模与生产活跃程度，从而识别出无实际经营行为的“空壳公司”，提升信贷投放的合理性与安全性。这一案例体现出数据要素在传统金融风控体系中的实际应用价值，也是湾区数谷“以数据产业为核心”定位的具体体现。</w:t>
      </w:r>
    </w:p>
    <w:p>
      <w:pPr>
        <w:spacing w:after="200" w:line="360" w:lineRule="auto"/>
        <w:ind w:firstLine="480"/>
        <w:jc w:val="both"/>
      </w:pPr>
      <w:r>
        <w:rPr>
          <w:rFonts w:ascii="Times New Roman" w:eastAsia="宋体" w:hAnsi="Times New Roman"/>
          <w:b w:val="0"/>
          <w:bCs w:val="0"/>
          <w:sz w:val="24"/>
          <w:szCs w:val="24"/>
        </w:rPr>
        <w:t>综合来看，湾区数谷虽然也涉及鸿蒙生态相关内容，但其核心定位仍是数据产业，鸿蒙更多是作为其中的一条业务线或应用方向存在，而非园区的全部内涵。</w:t>
      </w:r>
    </w:p>
    <w:p>
      <w:pPr>
        <w:spacing w:before="200" w:after="120"/>
        <w:ind w:firstLine="480"/>
      </w:pPr>
      <w:r>
        <w:rPr>
          <w:rFonts w:ascii="Times New Roman" w:eastAsia="宋体" w:hAnsi="Times New Roman"/>
          <w:b/>
          <w:bCs/>
          <w:sz w:val="24"/>
          <w:szCs w:val="24"/>
        </w:rPr>
        <w:t>（三）鸿蒙生态的发展现状与拓展方向</w:t>
      </w:r>
    </w:p>
    <w:p>
      <w:pPr>
        <w:spacing w:after="200" w:line="360" w:lineRule="auto"/>
        <w:ind w:firstLine="480"/>
        <w:jc w:val="both"/>
      </w:pPr>
      <w:r>
        <w:rPr>
          <w:rFonts w:ascii="Times New Roman" w:eastAsia="宋体" w:hAnsi="Times New Roman"/>
          <w:b w:val="0"/>
          <w:bCs w:val="0"/>
          <w:sz w:val="24"/>
          <w:szCs w:val="24"/>
        </w:rPr>
        <w:t>关于鸿蒙生态的现状，座谈交流中提到目前面向行业场景的“智慧鸿蒙”整体仍处于起步阶段，尚未形成大规模成熟应用。已经或正在探索的拓展方向较为多元，包括“鸿蒙＋医疗”“鸿蒙＋公园”“鸿蒙＋交通”等多个垂直场景，覆盖民生服务的不同领域，但这些方向目前大多仍处于试点或规划阶段。</w:t>
      </w:r>
    </w:p>
    <w:p>
      <w:pPr>
        <w:spacing w:after="200" w:line="360" w:lineRule="auto"/>
        <w:ind w:firstLine="480"/>
        <w:jc w:val="both"/>
      </w:pPr>
      <w:r>
        <w:rPr>
          <w:rFonts w:ascii="Times New Roman" w:eastAsia="宋体" w:hAnsi="Times New Roman"/>
          <w:b w:val="0"/>
          <w:bCs w:val="0"/>
          <w:sz w:val="24"/>
          <w:szCs w:val="24"/>
        </w:rPr>
        <w:t>在具体推进路径上，园区方提出的思路是：若要开发面向鸿蒙生态的应用，宜采取从零开始的原生开发方式，而非在既有系统基础上进行改造升级，原因在于系统改造往往牵涉大量的适配调试工作，其所耗费的时间与资金成本反而可能高于重新开发。这一判断也与目前业内对“纯血鸿蒙”生态建设的普遍认识相印证：由于纯血鸿蒙已完全移除安卓兼容层，所有应用必须基于其独立的技术框架重新开发，因此对已有大型应用而言，适配改造的工作量往往相当可观。</w:t>
      </w:r>
    </w:p>
    <w:p>
      <w:pPr>
        <w:spacing w:after="200" w:line="360" w:lineRule="auto"/>
        <w:ind w:firstLine="480"/>
        <w:jc w:val="both"/>
      </w:pPr>
      <w:r>
        <w:rPr>
          <w:rFonts w:ascii="Times New Roman" w:eastAsia="宋体" w:hAnsi="Times New Roman"/>
          <w:b w:val="0"/>
          <w:bCs w:val="0"/>
          <w:sz w:val="24"/>
          <w:szCs w:val="24"/>
        </w:rPr>
        <w:t>同时，交流中也提到，当前部分厂商在鸿蒙生态建设上尚难以做到“百分之百纯血”，在实际产品中仍会保留一定程度的兼容层或原有操作系统能力。其原因在于，若完全转向纯血鸿蒙架构，则意味着与厂商原有操作系统及应用生态之间可能出现不兼容的情况，进而影响产品的市场适应性与用户体验的连续性，因此厂商在推进鸿蒙原生化的过程中普遍会采取相对稳妥、渐进的策略，而非一步到位地全面切换。</w:t>
      </w:r>
    </w:p>
    <w:p>
      <w:pPr>
        <w:spacing w:before="320" w:after="160"/>
      </w:pPr>
      <w:r>
        <w:rPr>
          <w:rFonts w:ascii="Times New Roman" w:eastAsia="宋体" w:hAnsi="Times New Roman"/>
          <w:b/>
          <w:bCs/>
          <w:sz w:val="28"/>
          <w:szCs w:val="28"/>
        </w:rPr>
        <w:t>三、下午：东莞市民服务中心参观体验</w:t>
      </w:r>
    </w:p>
    <w:p>
      <w:pPr>
        <w:spacing w:after="200" w:line="360" w:lineRule="auto"/>
        <w:ind w:firstLine="480"/>
        <w:rPr>
          <w:rFonts w:ascii="Times New Roman" w:eastAsia="宋体" w:hAnsi="Times New Roman"/>
          <w:b w:val="0"/>
          <w:bCs w:val="0"/>
          <w:sz w:val="24"/>
          <w:szCs w:val="24"/>
        </w:rPr>
      </w:pPr>
      <w:r>
        <w:rPr>
          <w:rFonts w:ascii="Times New Roman" w:eastAsia="宋体" w:hAnsi="Times New Roman"/>
          <w:b w:val="0"/>
          <w:bCs w:val="0"/>
          <w:sz w:val="24"/>
          <w:szCs w:val="24"/>
        </w:rPr>
        <w:t>下午在专员带领下，首先参观了东莞市民服务中心一楼的整体办事区域。专员对大厅的功能分区与基本办事流程进行了介绍，其中给人印象较深的一点是，大厅的自助取号环节采用了静音设计，取号提示不再以传统的语音播报方式呈现，在一定程度上体现了服务细节上的优化与对办事环境安静有序的考量。</w:t>
      </w:r>
    </w:p>
    <w:p>
      <w:pPr>
        <w:spacing w:after="200" w:line="360" w:lineRule="auto"/>
        <w:ind w:firstLine="480"/>
      </w:pPr>
      <w:r>
        <w:rPr>
          <w:rFonts w:ascii="Times New Roman" w:eastAsia="宋体" w:hAnsi="Times New Roman"/>
          <w:b w:val="0"/>
          <w:bCs w:val="0"/>
          <w:sz w:val="24"/>
          <w:szCs w:val="24"/>
        </w:rPr>
        <w:t>二楼为全省首个落地的“鸿蒙AI智办体验区”，是本次下午参访的核心内容。在专员指导下，现场实际体验了鸿蒙终端“碰一碰”办理业务的功能，即通过手机与设备的近场通信完成信息读取与业务申请，无需重复填写基础资料。此外，现场还展示了手机与电脑、打印机之间的文件跨端流转能力，市民可将手机中的证照或资料一键同步至电脑或打印机，减少了传统办事过程中材料打印、扫描、传递等环节的繁琐程度。</w:t>
      </w:r>
    </w:p>
    <w:p>
      <w:pPr>
        <w:spacing w:after="200" w:line="360" w:lineRule="auto"/>
        <w:ind w:firstLine="480"/>
        <w:jc w:val="both"/>
      </w:pPr>
      <w:r>
        <w:rPr>
          <w:rFonts w:ascii="Times New Roman" w:eastAsia="宋体" w:hAnsi="Times New Roman"/>
          <w:b w:val="0"/>
          <w:bCs w:val="0"/>
          <w:sz w:val="24"/>
          <w:szCs w:val="24"/>
        </w:rPr>
        <w:t>体验区内设有专门的智能事务办理一体机，配备了名为“莞家”的人工智能助手，用于辅助市民完成业务咨询与材料填报等环节。据介绍，该智能设备目前可支持的鸿蒙关联业务共有三项，涵盖个体工商户设立登记、社保查询打印、不动产登记信息查询等首批高频事项；按照规划，到今年年底，可办理事项数量预计将扩展至五十余项，逐步覆盖更广泛的政务服务场景。</w:t>
      </w:r>
    </w:p>
    <w:p>
      <w:pPr>
        <w:spacing w:before="200" w:after="120"/>
        <w:ind w:firstLine="480"/>
      </w:pPr>
      <w:r>
        <w:rPr>
          <w:rFonts w:ascii="Times New Roman" w:eastAsia="宋体" w:hAnsi="Times New Roman"/>
          <w:b/>
          <w:bCs/>
          <w:sz w:val="24"/>
          <w:szCs w:val="24"/>
        </w:rPr>
        <w:t>（三）智能初审与人工终审相结合的工作机制</w:t>
      </w:r>
    </w:p>
    <w:p>
      <w:pPr>
        <w:spacing w:after="200" w:line="360" w:lineRule="auto"/>
        <w:ind w:firstLine="480"/>
        <w:jc w:val="both"/>
      </w:pPr>
      <w:r>
        <w:rPr>
          <w:rFonts w:ascii="Times New Roman" w:eastAsia="宋体" w:hAnsi="Times New Roman"/>
          <w:b w:val="0"/>
          <w:bCs w:val="0"/>
          <w:sz w:val="24"/>
          <w:szCs w:val="24"/>
        </w:rPr>
        <w:t>值得关注的一点是，虽然“莞家”智能助手承担了业务办理过程中的初步审核工作，但后台仍配备有专门的工作人员对相关材料与信息进行人工终审，以此防止因人工智能识别或材料录入环节可能出现的信息错误，从而保障政务服务在效率提升的同时不牺牲准确性与规范性。这种“AI初审＋人工终审”的双重把关模式，反映出当前智慧政务建设中在效率与安全之间寻求平衡的实践思路，也是本次实测体验中较有启发性的观察点之一。</w:t>
      </w:r>
    </w:p>
    <w:p>
      <w:pPr>
        <w:spacing w:before="320" w:after="160"/>
      </w:pPr>
      <w:r>
        <w:rPr>
          <w:rFonts w:ascii="Times New Roman" w:eastAsia="宋体" w:hAnsi="Times New Roman"/>
          <w:b/>
          <w:bCs/>
          <w:sz w:val="28"/>
          <w:szCs w:val="28"/>
        </w:rPr>
        <w:t>四、心得体会</w:t>
      </w:r>
    </w:p>
    <w:p>
      <w:pPr>
        <w:spacing w:after="200" w:line="360" w:lineRule="auto"/>
        <w:ind w:firstLine="480"/>
      </w:pPr>
      <w:r>
        <w:rPr>
          <w:rFonts w:ascii="Times New Roman" w:eastAsia="宋体" w:hAnsi="Times New Roman"/>
          <w:b w:val="0"/>
          <w:bCs w:val="0"/>
          <w:sz w:val="24"/>
          <w:szCs w:val="24"/>
        </w:rPr>
        <w:t>本日上午与下午的调研内容分别对应产业供给侧与政务应用侧两个不同的观察维度：上午在湾区数谷了解到的是南城如何通过政策资金与空间集聚吸引数字经济、鸿蒙生态相关企业落地，其回答的核心问题是“生态如何搭建”；下午在东莞市民服务中心则通过实地体验了解到鸿蒙技术在具体政务场景中的落地方式与市民的真实使用感受，其回答的核心问题是“生态在实际场景中如何被使用”。两者结合，构成了从产业布局到场景落地的完整链条，也使笔者对鸿蒙生态当前所处的发展阶段——即整体仍处于起步探索期，但已在部分场景中形成可复制、可推广的应用范式——有了更为具体和直观的认识。</w:t>
      </w:r>
      <w:bookmarkStart w:id="0" w:name="_GoBack"/>
      <w:bookmarkEnd w:id="0"/>
    </w:p>
    <w:sectPr>
      <w:pgSz w:w="11906" w:h="16838"/>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黑体"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3</Pages>
  <Words>2524</Words>
  <Characters>2540</Characters>
  <Lines>82</Lines>
  <Paragraphs>22</Paragraphs>
  <CharactersWithSpaces>2540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手机用户</cp:lastModifiedBy>
  <cp:revision>0</cp:revision>
  <dcterms:modified xsi:type="dcterms:W3CDTF">2026-08-01T13:43:43Z</dcterms:modified>
</cp:coreProperties>
</file>