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4B57F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2026年7月31日，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我们团队</w:t>
      </w:r>
      <w:bookmarkStart w:id="0" w:name="_GoBack"/>
      <w:bookmarkEnd w:id="0"/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赴东莞南城开展数字经济与智慧政务专项调研，上午走进湾区数谷探访鸿蒙产业集聚发展模式，下午前往市民服务中心实地体验全省首个鸿蒙AI智办体验区。一整天从产业供给侧到政务应用侧逐层观摩、座谈实操，完整看清鸿蒙生态从产业培育到民生落地的全链条实践，收获颇丰，也对数字产业布局、数字化政务转型有了更为直观深刻的思考。 上午参访湾区数谷，联科国际信息产业园与宏远AI产业园联动的产业布局，让我读懂南城差异化发展鸿蒙产业的顶层逻辑。南城立足全市行政、金融核心区位，聚焦“总部+服务”定位，推出“数字经济十条”专项政策，规划建设鸿蒙生态大厦，集中集聚鸿蒙生态、数字贸易、AI应用类企业，与松山湖“研发+制造”、滨海湾数字产业形成错位互补，避免同质化竞争。座谈交流中，我重点关注产业集聚的底层支撑：实打实的资金扶持、全周期企业服务、适配鸿蒙产业的载体规划，构成吸引上下游企业落地的核心优势。园区可为企业提供技术适配、政策申报、人才引育一站式服务，降低鸿蒙初创企业经营成本。同时，园区统筹规划鸿蒙生态大厦，定向引进头部企业总部与配套服务商，搭建完整产业生态圈，打破企业单打独斗的发展困境。这让我认识到，数字产业发展不能简单堆砌企业，必须依托区域自身资源找准定位，配套精准政策与专业园区服务，才能形成可持续的产业集聚效应。 下午在东莞市民服务中心的实地体验，则将鸿蒙技术从产业概念落到群众办事的真实场景。全省首创的鸿蒙AI智办体验区，以鸿蒙终端、NFC碰一碰、跨设备协同为核心，上线个体工商户登记、社保查询、不动产信息查询三大高频业务，实现进门自动取号、证件信息一键同步、多终端数据互通。亲身操作后能明显感受到数字化改革带来的效率提升：传统办事多窗口往返、反复填报材料的流程大幅简化，数据自动流转省去大量人工录入步骤，办事时长显著压缩。在与政务专员交流时，我也留意到落地过程中的现实难题：原有各部门政务系统异构、接口改造工作量大，中老年群体智能设备操作存在门槛，不同型号手机NFC兼容性有待完善。针对这些问题，大厅配套专人引导、清晰场景标识，同时分步扩容上线事项，计划覆盖50项民生高频业务，循序渐进推进数字化升级。这充分说明，智慧政务建设并非单纯技术叠加，更要兼顾系统兼容、群众使用习惯，兼顾效率与普惠性。 全天两处点位形成鲜明互补，上午看产业生态如何搭建，下午看技术场景如何落地，构建起完整的鸿蒙数字化发展闭环。湾区数谷解决“鸿蒙产业从哪里来”，通过空间、政策、服务培育产业供给；市民服务中心回答“鸿蒙技术为谁所用”，以政务场景检验技术价值、收集群众反馈，反向推动产业优化升级。南城这套“产业培育+场景应用”双向联动模式，为城市发展数字经济、推进智慧政务提供了优秀范本。 此次调研也带给我不少启发。发展数字产业，要立足区域禀赋找准差异化赛道，用精细化政策、专业化园区服务培育产业土壤；推进智慧政务，要坚持以群众需求为导向，兼顾技术创新与适老化改造，小步快跑迭代优化服务场景。未来在数字化工作推进中，可借鉴南城经验，打通产业端与应用端联动通道，以产业支撑数字化场景落地，以场景需求倒逼产业技术升级，真正让数字技术赋能产业发展、便利群众生活。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3A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2026-08-02T04:56:30Z</dcterms:created>
  <dc:creator>ZhuanZ</dc:creator>
  <cp:lastModifiedBy>微信用户</cp:lastModifiedBy>
  <dcterms:modified xsi:type="dcterms:W3CDTF">2026-08-02T04:57:19Z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eyJoZGlkIjoiZmE5YzkxYjA5MzM3ZTFiOGM5MTE1NTk3YTdmOGI3YjciLCJ1c2VySWQiOiIxMjcxNjM0NDI0In0=</vt:lpwstr>
  </property>
  <property fmtid="{D5CDD505-2E9C-101B-9397-08002B2CF9AE}" pid="4" name="ICV">
    <vt:lpwstr>4C828FDE96EC47C4BDCBB1CC555A799D_12</vt:lpwstr>
  </property>
</Properties>
</file>