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acticeTitle"/>
        <w:keepNext/>
        <w:jc w:val="center"/>
      </w:pPr>
      <w:r>
        <w:rPr>
          <w:rFonts w:ascii="Times New Roman" w:hAnsi="Times New Roman" w:eastAsia="仿宋_GB2312" w:cs="Times New Roman"/>
          <w:b/>
          <w:color w:val="000000"/>
          <w:sz w:val="42"/>
        </w:rPr>
        <w:t>云端研学“鸿蒙之城”</w:t>
        <w:br/>
        <w:t>——“鸿蒙之城数智突击队”线上社会实践心得</w:t>
      </w:r>
    </w:p>
    <w:p>
      <w:pPr>
        <w:pStyle w:val="PracticeHeading"/>
        <w:spacing w:line="360" w:lineRule="auto" w:before="180" w:after="60"/>
        <w:ind w:firstLine="0"/>
        <w:jc w:val="left"/>
        <w:widowControl/>
        <w:keepLines/>
        <w:keepNext/>
      </w:pPr>
      <w:r>
        <w:rPr>
          <w:rFonts w:ascii="Times New Roman" w:hAnsi="Times New Roman" w:eastAsia="仿宋_GB2312" w:cs="Times New Roman"/>
          <w:b/>
          <w:color w:val="000000"/>
          <w:sz w:val="31"/>
        </w:rPr>
        <w:t>一、实践概况与参与方式</w:t>
      </w:r>
    </w:p>
    <w:p>
      <w:pPr>
        <w:spacing w:line="360" w:lineRule="auto" w:before="0" w:after="0"/>
        <w:ind w:firstLine="480"/>
        <w:jc w:val="both"/>
        <w:widowControl/>
        <w:keepLines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2026年7月底，在田盛兰老师与南城团工委的指导下，我作为东莞理工学院计算机学院“鸿蒙之城数智突击队”的一员，参与了围绕东莞“鸿蒙之城”建设开展的暑期社会实践。团队线下调研持续一周，先后走进鸿蒙智行用户中心、R&amp;A PARK、广东省开源鸿蒙适配中心、慕思健康睡眠股份有限公司、东莞市鸿蒙场景供需对接会、湾区数谷和东莞市民服务中心等点位。由于客观原因，我本次没有随队前往现场，而是以线上方式参与实践：阅读团队共享的走访记录与企业材料，梳理不同点位的调研重点，围绕鸿蒙生态的跨场景应用、产业协同、人才需求和推广难点进行资料分析，并参与阶段性交流与成果整理。明确自己的参与边界，是对实践真实性负责，也让我更加重视如何从有限材料中形成有依据、有逻辑的认识。</w:t>
      </w:r>
    </w:p>
    <w:p>
      <w:pPr>
        <w:pStyle w:val="PracticeHeading"/>
        <w:spacing w:line="360" w:lineRule="auto" w:before="180" w:after="60"/>
        <w:ind w:firstLine="0"/>
        <w:jc w:val="left"/>
        <w:widowControl/>
        <w:keepLines/>
        <w:keepNext/>
      </w:pPr>
      <w:r>
        <w:rPr>
          <w:rFonts w:ascii="Times New Roman" w:hAnsi="Times New Roman" w:eastAsia="仿宋_GB2312" w:cs="Times New Roman"/>
          <w:b/>
          <w:color w:val="000000"/>
          <w:sz w:val="31"/>
        </w:rPr>
        <w:t>二、实践目的</w:t>
      </w:r>
    </w:p>
    <w:p>
      <w:pPr>
        <w:spacing w:line="360" w:lineRule="auto" w:before="0" w:after="0"/>
        <w:ind w:firstLine="480"/>
        <w:jc w:val="both"/>
        <w:widowControl/>
        <w:keepLines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次实践以“百千万工程”为背景，主要目的是了解数字技术赋能产业升级与城市治理的真实路径，观察人工智能与鸿蒙生态如何从操作系统和技术概念转化为汽车、家居、校园、零售和政务等领域的具体服务。对我而言，线上参与还有一项目标：训练资料检索、信息辨析、案例归纳和结构化表达能力，把课堂中接触的数据结构、人工智能、信息系统与隐私安全知识，同东莞本地产业和公共服务场景联系起来，思考计算机专业学生能够为城市数字化建设做什么。</w:t>
      </w:r>
    </w:p>
    <w:p>
      <w:pPr>
        <w:pStyle w:val="PracticeHeading"/>
        <w:spacing w:line="360" w:lineRule="auto" w:before="180" w:after="60"/>
        <w:ind w:firstLine="0"/>
        <w:jc w:val="left"/>
        <w:widowControl/>
        <w:keepLines/>
        <w:keepNext/>
      </w:pPr>
      <w:r>
        <w:rPr>
          <w:rFonts w:ascii="Times New Roman" w:hAnsi="Times New Roman" w:eastAsia="仿宋_GB2312" w:cs="Times New Roman"/>
          <w:b/>
          <w:color w:val="000000"/>
          <w:sz w:val="31"/>
        </w:rPr>
        <w:t>三、实践内容：从多场景材料中理解鸿蒙生态</w:t>
      </w:r>
    </w:p>
    <w:p>
      <w:pPr>
        <w:spacing w:line="360" w:lineRule="auto" w:before="0" w:after="0"/>
        <w:ind w:firstLine="480"/>
        <w:jc w:val="both"/>
        <w:widowControl/>
        <w:keepLines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在鸿蒙智行与R&amp;A PARK相关材料中，我首先看到“万物互联”从口号变为用户可感知体验的过程。手机导航可以向车机流转，语音助手能够连续执行指令，汽车也由单一交通工具逐渐转变为连接手机、平板、家居设备的数字生活入口。与此同时，团队记录中多次出现“需要特定账号或配套设备才能完整体验”的情况，R&amp;A PARK内部分鸿蒙服务的入口与场景标识也不够醒目。这说明技术能力与用户感知之间仍隔着一道“体验设计”的门槛：功能先进并不等于普通市民自然会用，清晰的入口、低成本的试用方式和充分的现场引导同样重要。</w:t>
      </w:r>
    </w:p>
    <w:p>
      <w:pPr>
        <w:spacing w:line="360" w:lineRule="auto" w:before="0" w:after="0"/>
        <w:ind w:firstLine="480"/>
        <w:jc w:val="both"/>
        <w:widowControl/>
        <w:keepLines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广东省开源鸿蒙适配中心与慕思案例中，我对“生态”有了更具体的理解。开源鸿蒙进入行业，不是简单安装一个软件，而要经过芯片、模组、开发板、设备、应用、测试认证和人才培训等多环节协作。适配中心为企业提供标准、工具与服务支撑，企业再把这些能力转化为消费者能够使用的产品。慕思智能床则展示了传统制造业数字化升级的一条路径：床体可与灯光、空调、窗帘等设备联动，根据睡眠状态切换环境模式。团队材料显示，鸿蒙智能床Pro系列在今年一季度销量超过一万张。这个案例让我认识到，真正的数字化不是给传统产品增加屏幕，而是通过感知、数据分析和设备协同重新定义产品功能与服务模式。</w:t>
      </w:r>
    </w:p>
    <w:p>
      <w:pPr>
        <w:spacing w:line="360" w:lineRule="auto" w:before="0" w:after="0"/>
        <w:ind w:firstLine="480"/>
        <w:jc w:val="both"/>
        <w:widowControl/>
        <w:keepLines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育专场供需对接会、湾区数谷和市民服务中心的材料，又让我看到政府在数字生态中的平台作用。智慧校园方案要回应图书馆、班牌、批阅、校园物联等真实需求，还要综合考虑价格、数据安全、操作难度和师生习惯；数据产业的发展需要政策、平台、人才和应用场景共同支撑；政务服务中的“碰一碰”和跨终端流转，则把反复登录、填写和上传材料等高频麻烦转化为更顺畅的办事体验。这些场景共同说明，技术落地的价值不在于设备数量，而在于是否解决了真实问题、是否让多数人都能便利而安全地使用。</w:t>
      </w:r>
    </w:p>
    <w:p>
      <w:pPr>
        <w:pStyle w:val="PracticeHeading"/>
        <w:spacing w:line="360" w:lineRule="auto" w:before="180" w:after="60"/>
        <w:ind w:firstLine="0"/>
        <w:jc w:val="left"/>
        <w:widowControl/>
        <w:keepLines/>
        <w:keepNext/>
      </w:pPr>
      <w:r>
        <w:rPr>
          <w:rFonts w:ascii="Times New Roman" w:hAnsi="Times New Roman" w:eastAsia="仿宋_GB2312" w:cs="Times New Roman"/>
          <w:b/>
          <w:color w:val="000000"/>
          <w:sz w:val="31"/>
        </w:rPr>
        <w:t>四、实践结果与主要收获</w:t>
      </w:r>
    </w:p>
    <w:p>
      <w:pPr>
        <w:spacing w:line="360" w:lineRule="auto" w:before="0" w:after="0"/>
        <w:ind w:firstLine="480"/>
        <w:jc w:val="both"/>
        <w:widowControl/>
        <w:keepLines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经过线上研读、分类整理和案例比较，我形成了三点较为清晰的认识。第一，鸿蒙的核心价值不仅是提升单台设备的智能化水平，更在于跨设备、跨场景的协同能力。从“人—车—家”到校园与政务，系统的价值来自连接之后形成的整体体验。第二，鸿蒙生态建设是一项系统工程，需要政府搭建平台、企业开发产品、适配机构提供技术支持、高校培养人才、用户参与使用，任何一环薄弱都可能影响推广效果。第三，当前东莞已经形成一批可观察的应用案例，但从试点走向规模化仍需解决用户触达、行业适配成本、专业人才供给、数据安全与隐私保护等问题。</w:t>
      </w:r>
    </w:p>
    <w:p>
      <w:pPr>
        <w:spacing w:line="360" w:lineRule="auto" w:before="0" w:after="0"/>
        <w:ind w:firstLine="480"/>
        <w:jc w:val="both"/>
        <w:widowControl/>
        <w:keepLines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线上参与也提升了我的学习方法。面对来自不同点位的材料，我不能只摘录“亮点”，还要分清事实、评价与推断，比较不同场景背后的共同机制。例如，智能座舱的账号门槛、智慧校园的使用习惯、数据要素流通的合规边界，看似属于不同领域，实质上都指向同一个问题：技术系统只有同时满足可用性、易用性、安全性和可持续性，才可能真正融入城市生活。这种从案例中提炼共性问题的过程，比单纯记忆产品功能更接近专业研究。</w:t>
      </w:r>
    </w:p>
    <w:p>
      <w:pPr>
        <w:pStyle w:val="PracticeHeading"/>
        <w:spacing w:line="360" w:lineRule="auto" w:before="180" w:after="60"/>
        <w:ind w:firstLine="0"/>
        <w:jc w:val="left"/>
        <w:widowControl/>
        <w:keepLines/>
        <w:keepNext/>
      </w:pPr>
      <w:r>
        <w:rPr>
          <w:rFonts w:ascii="Times New Roman" w:hAnsi="Times New Roman" w:eastAsia="仿宋_GB2312" w:cs="Times New Roman"/>
          <w:b/>
          <w:color w:val="000000"/>
          <w:sz w:val="31"/>
        </w:rPr>
        <w:t>五、对线上实践局限与技术推广问题的思考</w:t>
      </w:r>
    </w:p>
    <w:p>
      <w:pPr>
        <w:spacing w:line="360" w:lineRule="auto" w:before="0" w:after="0"/>
        <w:ind w:firstLine="480"/>
        <w:jc w:val="both"/>
        <w:widowControl/>
        <w:keepLines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没有到现场，是本次实践最明显的局限。我无法亲自感受设备响应速度、交互流程和空间布置，也不能即时追问企业人员，因此对一些细节的判断依赖团队记录。为避免把二手材料写成亲历，我在整理时尽量使用“团队记录显示”“根据共享材料”等表述，并通过不同材料相互印证。这种局限反而提醒我，社会实践的价值不只在“去过哪里”，还在于能否诚实说明资料来源、尊重事实边界，并在现有条件下完成有效协作。今后若再次以线上方式参与，我会提前与线下成员共同设计观察清单和访谈提纲，明确需要记录的操作步骤、用户反馈和数据口径，并在活动结束后及时开展线上复盘，以提高材料的完整性和可比较性。</w:t>
      </w:r>
    </w:p>
    <w:p>
      <w:pPr>
        <w:spacing w:line="360" w:lineRule="auto" w:before="0" w:after="0"/>
        <w:ind w:firstLine="480"/>
        <w:jc w:val="both"/>
        <w:widowControl/>
        <w:keepLines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从推广角度看，鸿蒙生态还需要在开放性与协同性之间取得更好平衡。一方面，统一账号和设备体系能够形成连续体验；另一方面，过高的设备依赖也可能让非生态用户难以理解其价值。智慧家居与政务场景还涉及健康、身份等敏感数据，更要坚持最小必要采集、清晰授权、权限可控和全流程安全。作为计算机专业学生，我们不能只关注功能是否实现，还应关注用户是否知情、数据如何流转、异常如何处理，以及系统能否覆盖老年人和非特定品牌用户。数字赋能应当带来普惠，而不是形成新的使用门槛。</w:t>
      </w:r>
    </w:p>
    <w:p>
      <w:pPr>
        <w:pStyle w:val="PracticeHeading"/>
        <w:spacing w:line="360" w:lineRule="auto" w:before="180" w:after="60"/>
        <w:ind w:firstLine="0"/>
        <w:jc w:val="left"/>
        <w:widowControl/>
        <w:keepLines/>
        <w:keepNext/>
      </w:pPr>
      <w:r>
        <w:rPr>
          <w:rFonts w:ascii="Times New Roman" w:hAnsi="Times New Roman" w:eastAsia="仿宋_GB2312" w:cs="Times New Roman"/>
          <w:b/>
          <w:color w:val="000000"/>
          <w:sz w:val="31"/>
        </w:rPr>
        <w:t>六、总结与体会</w:t>
      </w:r>
    </w:p>
    <w:p>
      <w:pPr>
        <w:spacing w:line="360" w:lineRule="auto" w:before="0" w:after="0"/>
        <w:ind w:firstLine="480"/>
        <w:jc w:val="both"/>
        <w:widowControl/>
        <w:keepLines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这次线上社会实践让我对“国产操作系统”和“鸿蒙之城”有了超越课堂概念的认识。它可以是汽车中的智能座舱，是连接卧室环境的智能床，是校园数字基座上的应用方案，也是政务大厅里一次便捷的信息流转；但它同时也是标准适配、企业协同、人才培养、隐私保护和用户教育共同组成的复杂工程。虽然我没有亲临现场，仍通过资料研读和团队协作完成了从“看见案例”到“理解生态”的学习过程，也认识到线上成员同样需要承担严谨整理、审慎分析和真实表达的责任。</w:t>
      </w:r>
    </w:p>
    <w:p>
      <w:pPr>
        <w:spacing w:line="360" w:lineRule="auto" w:before="0" w:after="0"/>
        <w:ind w:firstLine="480"/>
        <w:jc w:val="both"/>
        <w:widowControl/>
        <w:keepLines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未来，我希望进一步把专业学习写进实践：用数据分析方法研究用户反馈和场景使用情况，用软件工程思维理解多端协同与系统适配，用网络与信息安全知识审视数据流转边界，并主动参与面向真实需求的项目。青年观察时代，不只要追逐技术热点，更要判断技术能否回应产业与民生问题。我将以此次实践为新的起点，持续关注东莞数字产业与鸿蒙生态的发展，在学习中夯实能力，在协作中承担责任，为数字技术赋能高质量发展贡献自己的专业力量。</w:t>
      </w:r>
    </w:p>
    <w:sectPr w:rsidR="00FC693F" w:rsidRPr="0006063C" w:rsidSect="00034616">
      <w:pgSz w:w="11906" w:h="16838"/>
      <w:pgMar w:top="1440" w:right="1440" w:bottom="1440" w:left="144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acticeTitle">
    <w:name w:val="PracticeTitle"/>
    <w:basedOn w:val="Normal"/>
    <w:pPr>
      <w:spacing w:before="0" w:after="300" w:line="240" w:lineRule="auto"/>
    </w:pPr>
    <w:rPr>
      <w:rFonts w:ascii="Times New Roman" w:hAnsi="Times New Roman" w:eastAsia="仿宋_GB2312" w:cs="Times New Roman"/>
      <w:b/>
      <w:color w:val="000000"/>
      <w:sz w:val="42"/>
    </w:rPr>
  </w:style>
  <w:style w:type="paragraph" w:customStyle="1" w:styleId="PracticeHeading">
    <w:name w:val="PracticeHeading"/>
    <w:basedOn w:val="Normal"/>
    <w:pPr>
      <w:spacing w:before="180" w:after="60" w:line="360" w:lineRule="auto"/>
    </w:pPr>
    <w:rPr>
      <w:rFonts w:ascii="Times New Roman" w:hAnsi="Times New Roman" w:eastAsia="仿宋_GB2312" w:cs="Times New Roman"/>
      <w:b/>
      <w:color w:val="000000"/>
      <w:sz w:val="3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云端研学“鸿蒙之城”——线上社会实践心得</dc:title>
  <dc:subject>东莞理工学院“鸿蒙之城数智突击队”线上社会实践心得</dc:subject>
  <dc:creator/>
  <cp:keywords>社会实践, 鸿蒙之城, 线上调研, 数字赋能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