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1ECF1">
      <w:pPr>
        <w:keepNext w:val="0"/>
        <w:keepLines w:val="0"/>
        <w:widowControl w:val="0"/>
        <w:suppressLineNumbers w:val="0"/>
        <w:spacing w:before="0" w:beforeAutospacing="0" w:after="0" w:afterAutospacing="0"/>
        <w:ind w:left="0" w:right="0"/>
        <w:jc w:val="center"/>
        <w:rPr>
          <w:rFonts w:eastAsia="方正小标宋简体"/>
          <w:sz w:val="56"/>
          <w:szCs w:val="56"/>
          <w:lang w:val="en-US"/>
        </w:rPr>
      </w:pPr>
      <w:r>
        <w:rPr>
          <w:rFonts w:hint="eastAsia" w:ascii="Times New Roman" w:hAnsi="方正小标宋简体" w:eastAsia="方正小标宋简体" w:cs="方正小标宋简体"/>
          <w:kern w:val="2"/>
          <w:sz w:val="56"/>
          <w:szCs w:val="56"/>
          <w:lang w:val="en-US" w:eastAsia="zh-CN" w:bidi="ar"/>
        </w:rPr>
        <w:t>东</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莞</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理</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工</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学</w:t>
      </w:r>
      <w:r>
        <w:rPr>
          <w:rFonts w:hint="default" w:ascii="Times New Roman" w:hAnsi="Times New Roman" w:eastAsia="方正小标宋简体" w:cs="Times New Roman"/>
          <w:kern w:val="2"/>
          <w:sz w:val="56"/>
          <w:szCs w:val="56"/>
          <w:lang w:val="en-US" w:eastAsia="zh-CN" w:bidi="ar"/>
        </w:rPr>
        <w:t xml:space="preserve">  </w:t>
      </w:r>
      <w:r>
        <w:rPr>
          <w:rFonts w:hint="eastAsia" w:ascii="Times New Roman" w:hAnsi="方正小标宋简体" w:eastAsia="方正小标宋简体" w:cs="方正小标宋简体"/>
          <w:kern w:val="2"/>
          <w:sz w:val="56"/>
          <w:szCs w:val="56"/>
          <w:lang w:val="en-US" w:eastAsia="zh-CN" w:bidi="ar"/>
        </w:rPr>
        <w:t>院</w:t>
      </w:r>
    </w:p>
    <w:p w14:paraId="2F01E071">
      <w:pPr>
        <w:keepNext w:val="0"/>
        <w:keepLines w:val="0"/>
        <w:widowControl w:val="0"/>
        <w:suppressLineNumbers w:val="0"/>
        <w:spacing w:before="0" w:beforeAutospacing="0" w:after="0" w:afterAutospacing="0" w:line="360" w:lineRule="auto"/>
        <w:ind w:left="0" w:right="0"/>
        <w:jc w:val="center"/>
        <w:rPr>
          <w:rFonts w:eastAsia="方正小标宋简体"/>
          <w:sz w:val="56"/>
          <w:szCs w:val="56"/>
          <w:lang w:val="en-US"/>
        </w:rPr>
      </w:pPr>
      <w:r>
        <w:rPr>
          <w:rFonts w:hint="eastAsia" w:ascii="Times New Roman" w:hAnsi="方正小标宋简体" w:eastAsia="方正小标宋简体" w:cs="方正小标宋简体"/>
          <w:kern w:val="2"/>
          <w:sz w:val="56"/>
          <w:szCs w:val="56"/>
          <w:lang w:val="en-US" w:eastAsia="zh-CN" w:bidi="ar"/>
        </w:rPr>
        <w:t>社会实践总结报告</w:t>
      </w:r>
    </w:p>
    <w:p w14:paraId="29CD7800">
      <w:pPr>
        <w:keepNext w:val="0"/>
        <w:keepLines w:val="0"/>
        <w:widowControl w:val="0"/>
        <w:suppressLineNumbers w:val="0"/>
        <w:spacing w:before="0" w:beforeAutospacing="0" w:after="0" w:afterAutospacing="0"/>
        <w:ind w:left="0" w:right="0"/>
        <w:jc w:val="both"/>
        <w:rPr>
          <w:rFonts w:eastAsia="仿宋_GB2312"/>
          <w:lang w:val="en-US"/>
        </w:rPr>
      </w:pPr>
    </w:p>
    <w:p w14:paraId="23D790F9">
      <w:pPr>
        <w:keepNext w:val="0"/>
        <w:keepLines w:val="0"/>
        <w:widowControl w:val="0"/>
        <w:suppressLineNumbers w:val="0"/>
        <w:spacing w:before="0" w:beforeAutospacing="0" w:after="0" w:afterAutospacing="0" w:line="600" w:lineRule="exact"/>
        <w:ind w:left="0" w:right="0"/>
        <w:jc w:val="both"/>
        <w:rPr>
          <w:rFonts w:eastAsia="仿宋_GB2312"/>
          <w:b/>
          <w:bCs/>
          <w:lang w:val="en-US"/>
        </w:rPr>
      </w:pPr>
    </w:p>
    <w:p w14:paraId="06CF3D17">
      <w:pPr>
        <w:keepNext w:val="0"/>
        <w:keepLines w:val="0"/>
        <w:widowControl w:val="0"/>
        <w:suppressLineNumbers w:val="0"/>
        <w:spacing w:before="0" w:beforeAutospacing="0" w:after="0" w:afterAutospacing="0"/>
        <w:ind w:left="0" w:right="0"/>
        <w:jc w:val="both"/>
        <w:rPr>
          <w:rFonts w:eastAsia="仿宋_GB2312"/>
          <w:sz w:val="32"/>
          <w:szCs w:val="32"/>
          <w:lang w:val="en-US"/>
        </w:rPr>
      </w:pPr>
    </w:p>
    <w:p w14:paraId="6AAE9FD6">
      <w:pPr>
        <w:keepNext w:val="0"/>
        <w:keepLines w:val="0"/>
        <w:widowControl w:val="0"/>
        <w:suppressLineNumbers w:val="0"/>
        <w:spacing w:before="0" w:beforeAutospacing="0" w:after="0" w:afterAutospacing="0"/>
        <w:ind w:left="0" w:right="0"/>
        <w:jc w:val="both"/>
        <w:rPr>
          <w:rFonts w:eastAsia="仿宋_GB2312"/>
          <w:lang w:val="en-US"/>
        </w:rPr>
      </w:pPr>
    </w:p>
    <w:p w14:paraId="4107F309">
      <w:pPr>
        <w:keepNext w:val="0"/>
        <w:keepLines w:val="0"/>
        <w:widowControl w:val="0"/>
        <w:suppressLineNumbers w:val="0"/>
        <w:spacing w:before="0" w:beforeAutospacing="0" w:after="0" w:afterAutospacing="0"/>
        <w:ind w:left="0" w:right="0"/>
        <w:jc w:val="both"/>
        <w:rPr>
          <w:rFonts w:eastAsia="仿宋_GB2312"/>
          <w:lang w:val="en-US"/>
        </w:rPr>
      </w:pPr>
    </w:p>
    <w:p w14:paraId="09DA5D4C">
      <w:pPr>
        <w:keepNext w:val="0"/>
        <w:keepLines w:val="0"/>
        <w:widowControl w:val="0"/>
        <w:suppressLineNumbers w:val="0"/>
        <w:spacing w:before="0" w:beforeAutospacing="0" w:after="0" w:afterAutospacing="0"/>
        <w:ind w:left="0" w:right="0"/>
        <w:jc w:val="both"/>
        <w:rPr>
          <w:rFonts w:eastAsia="仿宋_GB2312"/>
          <w:lang w:val="en-US"/>
        </w:rPr>
      </w:pPr>
    </w:p>
    <w:p w14:paraId="73C1160D">
      <w:pPr>
        <w:keepNext w:val="0"/>
        <w:keepLines w:val="0"/>
        <w:widowControl w:val="0"/>
        <w:suppressLineNumbers w:val="0"/>
        <w:spacing w:before="0" w:beforeAutospacing="0" w:after="0" w:afterAutospacing="0"/>
        <w:ind w:left="0" w:right="0"/>
        <w:jc w:val="both"/>
        <w:rPr>
          <w:rFonts w:eastAsia="仿宋_GB2312"/>
          <w:lang w:val="en-US"/>
        </w:rPr>
      </w:pPr>
    </w:p>
    <w:p w14:paraId="5706EA36">
      <w:pPr>
        <w:keepNext w:val="0"/>
        <w:keepLines w:val="0"/>
        <w:widowControl w:val="0"/>
        <w:suppressLineNumbers w:val="0"/>
        <w:spacing w:before="0" w:beforeAutospacing="0" w:after="0" w:afterAutospacing="0" w:line="360" w:lineRule="auto"/>
        <w:ind w:left="0" w:right="0" w:firstLine="1456" w:firstLineChars="455"/>
        <w:jc w:val="both"/>
        <w:rPr>
          <w:rFonts w:eastAsia="黑体"/>
          <w:sz w:val="32"/>
          <w:szCs w:val="32"/>
          <w:u w:val="single"/>
          <w:lang w:val="en-US"/>
        </w:rPr>
      </w:pPr>
      <w:r>
        <w:rPr>
          <w:rFonts w:hint="eastAsia" w:ascii="Times New Roman" w:hAnsi="Times New Roman" w:eastAsia="黑体" w:cs="黑体"/>
          <w:kern w:val="2"/>
          <w:sz w:val="32"/>
          <w:szCs w:val="32"/>
          <w:lang w:val="en-US" w:eastAsia="zh-CN" w:bidi="ar"/>
        </w:rPr>
        <w:t>项目名称：</w:t>
      </w:r>
      <w:r>
        <w:rPr>
          <w:rFonts w:hint="default" w:ascii="Times New Roman" w:hAnsi="Times New Roman" w:eastAsia="黑体" w:cs="Times New Roman"/>
          <w:kern w:val="2"/>
          <w:sz w:val="32"/>
          <w:szCs w:val="32"/>
          <w:u w:val="single"/>
          <w:lang w:val="en-US" w:eastAsia="zh-CN" w:bidi="ar"/>
        </w:rPr>
        <w:t xml:space="preserve"> </w:t>
      </w:r>
      <w:r>
        <w:rPr>
          <w:rFonts w:hint="eastAsia" w:ascii="Times New Roman" w:hAnsi="Times New Roman" w:eastAsia="黑体" w:cs="黑体"/>
          <w:kern w:val="2"/>
          <w:sz w:val="32"/>
          <w:szCs w:val="32"/>
          <w:u w:val="single"/>
          <w:lang w:val="en-US" w:eastAsia="zh-CN" w:bidi="ar"/>
        </w:rPr>
        <w:t>“鸿蒙之城”城市建设调研究</w:t>
      </w:r>
      <w:r>
        <w:rPr>
          <w:rFonts w:hint="default" w:ascii="Times New Roman" w:hAnsi="Times New Roman" w:eastAsia="黑体" w:cs="Times New Roman"/>
          <w:kern w:val="2"/>
          <w:sz w:val="32"/>
          <w:szCs w:val="32"/>
          <w:u w:val="single"/>
          <w:lang w:val="en-US" w:eastAsia="zh-CN" w:bidi="ar"/>
        </w:rPr>
        <w:t xml:space="preserve">     </w:t>
      </w:r>
    </w:p>
    <w:p w14:paraId="39A661A2">
      <w:pPr>
        <w:keepNext w:val="0"/>
        <w:keepLines w:val="0"/>
        <w:widowControl w:val="0"/>
        <w:suppressLineNumbers w:val="0"/>
        <w:spacing w:before="0" w:beforeAutospacing="0" w:after="0" w:afterAutospacing="0" w:line="360" w:lineRule="auto"/>
        <w:ind w:left="0" w:right="0" w:firstLine="1456" w:firstLineChars="455"/>
        <w:jc w:val="both"/>
        <w:rPr>
          <w:rFonts w:eastAsia="黑体"/>
          <w:sz w:val="32"/>
          <w:szCs w:val="32"/>
          <w:u w:val="single"/>
          <w:lang w:val="en-US"/>
        </w:rPr>
      </w:pPr>
      <w:r>
        <w:rPr>
          <w:rFonts w:hint="eastAsia" w:ascii="Times New Roman" w:hAnsi="Times New Roman" w:eastAsia="黑体" w:cs="黑体"/>
          <w:kern w:val="2"/>
          <w:sz w:val="32"/>
          <w:szCs w:val="32"/>
          <w:lang w:val="en-US" w:eastAsia="zh-CN" w:bidi="ar"/>
        </w:rPr>
        <w:t>所属队伍：</w:t>
      </w:r>
      <w:r>
        <w:rPr>
          <w:rFonts w:hint="default" w:ascii="Times New Roman" w:hAnsi="Times New Roman" w:eastAsia="黑体" w:cs="Times New Roman"/>
          <w:kern w:val="2"/>
          <w:sz w:val="32"/>
          <w:szCs w:val="32"/>
          <w:u w:val="single"/>
          <w:lang w:val="en-US" w:eastAsia="zh-CN" w:bidi="ar"/>
        </w:rPr>
        <w:t xml:space="preserve">  </w:t>
      </w:r>
      <w:r>
        <w:rPr>
          <w:rFonts w:hint="eastAsia" w:ascii="Times New Roman" w:hAnsi="Times New Roman" w:eastAsia="黑体" w:cs="黑体"/>
          <w:kern w:val="2"/>
          <w:sz w:val="32"/>
          <w:szCs w:val="32"/>
          <w:u w:val="single"/>
          <w:lang w:val="en-US" w:eastAsia="zh-CN" w:bidi="ar"/>
        </w:rPr>
        <w:t>东莞理工学院鸿蒙之城数智突击队</w:t>
      </w:r>
      <w:r>
        <w:rPr>
          <w:rFonts w:hint="default" w:ascii="Times New Roman" w:hAnsi="Times New Roman" w:eastAsia="黑体" w:cs="Times New Roman"/>
          <w:kern w:val="2"/>
          <w:sz w:val="32"/>
          <w:szCs w:val="32"/>
          <w:u w:val="single"/>
          <w:lang w:val="en-US" w:eastAsia="zh-CN" w:bidi="ar"/>
        </w:rPr>
        <w:t xml:space="preserve">    </w:t>
      </w:r>
    </w:p>
    <w:p w14:paraId="4AF18292">
      <w:pPr>
        <w:keepNext w:val="0"/>
        <w:keepLines w:val="0"/>
        <w:widowControl w:val="0"/>
        <w:suppressLineNumbers w:val="0"/>
        <w:spacing w:before="0" w:beforeAutospacing="0" w:after="0" w:afterAutospacing="0" w:line="360" w:lineRule="auto"/>
        <w:ind w:left="0" w:right="0" w:firstLine="1456" w:firstLineChars="455"/>
        <w:jc w:val="both"/>
        <w:rPr>
          <w:rFonts w:eastAsia="黑体"/>
          <w:sz w:val="32"/>
          <w:szCs w:val="32"/>
          <w:u w:val="single"/>
          <w:lang w:val="en-US"/>
        </w:rPr>
      </w:pPr>
      <w:r>
        <w:rPr>
          <w:rFonts w:hint="eastAsia" w:ascii="Times New Roman" w:hAnsi="Times New Roman" w:eastAsia="黑体" w:cs="黑体"/>
          <w:kern w:val="2"/>
          <w:sz w:val="32"/>
          <w:szCs w:val="32"/>
          <w:lang w:val="en-US" w:eastAsia="zh-CN" w:bidi="ar"/>
        </w:rPr>
        <w:t>实践地点：</w:t>
      </w:r>
      <w:r>
        <w:rPr>
          <w:rFonts w:hint="default" w:ascii="Times New Roman" w:hAnsi="Times New Roman" w:eastAsia="黑体" w:cs="Times New Roman"/>
          <w:kern w:val="2"/>
          <w:sz w:val="32"/>
          <w:szCs w:val="32"/>
          <w:u w:val="single"/>
          <w:lang w:val="en-US" w:eastAsia="zh-CN" w:bidi="ar"/>
        </w:rPr>
        <w:t xml:space="preserve">        </w:t>
      </w:r>
      <w:r>
        <w:rPr>
          <w:rFonts w:hint="eastAsia" w:ascii="Times New Roman" w:hAnsi="Times New Roman" w:eastAsia="黑体" w:cs="黑体"/>
          <w:kern w:val="2"/>
          <w:sz w:val="32"/>
          <w:szCs w:val="32"/>
          <w:u w:val="single"/>
          <w:lang w:val="en-US" w:eastAsia="zh-CN" w:bidi="ar"/>
        </w:rPr>
        <w:t>东莞南城街道</w:t>
      </w:r>
      <w:r>
        <w:rPr>
          <w:rFonts w:hint="default" w:ascii="Times New Roman" w:hAnsi="Times New Roman" w:eastAsia="黑体" w:cs="Times New Roman"/>
          <w:kern w:val="2"/>
          <w:sz w:val="32"/>
          <w:szCs w:val="32"/>
          <w:u w:val="single"/>
          <w:lang w:val="en-US" w:eastAsia="zh-CN" w:bidi="ar"/>
        </w:rPr>
        <w:t xml:space="preserve">                    </w:t>
      </w:r>
    </w:p>
    <w:p w14:paraId="301E7D6F">
      <w:pPr>
        <w:keepNext w:val="0"/>
        <w:keepLines w:val="0"/>
        <w:widowControl w:val="0"/>
        <w:suppressLineNumbers w:val="0"/>
        <w:spacing w:before="0" w:beforeAutospacing="0" w:after="0" w:afterAutospacing="0" w:line="360" w:lineRule="auto"/>
        <w:ind w:left="0" w:right="0" w:firstLine="1456" w:firstLineChars="455"/>
        <w:jc w:val="both"/>
        <w:rPr>
          <w:rFonts w:eastAsia="黑体"/>
          <w:sz w:val="32"/>
          <w:szCs w:val="32"/>
          <w:u w:val="single"/>
          <w:lang w:val="en-US"/>
        </w:rPr>
      </w:pPr>
      <w:r>
        <w:rPr>
          <w:rFonts w:hint="eastAsia" w:ascii="Times New Roman" w:hAnsi="Times New Roman" w:eastAsia="黑体" w:cs="黑体"/>
          <w:kern w:val="2"/>
          <w:sz w:val="32"/>
          <w:szCs w:val="32"/>
          <w:lang w:val="en-US" w:eastAsia="zh-CN" w:bidi="ar"/>
        </w:rPr>
        <w:t>实践时间：</w:t>
      </w:r>
      <w:r>
        <w:rPr>
          <w:rFonts w:hint="default" w:ascii="Times New Roman" w:hAnsi="Times New Roman" w:eastAsia="黑体" w:cs="Times New Roman"/>
          <w:kern w:val="2"/>
          <w:sz w:val="32"/>
          <w:szCs w:val="32"/>
          <w:u w:val="single"/>
          <w:lang w:val="en-US" w:eastAsia="zh-CN" w:bidi="ar"/>
        </w:rPr>
        <w:t xml:space="preserve">      2026.7.26 - 2026.8.3                          </w:t>
      </w:r>
    </w:p>
    <w:p w14:paraId="12306539">
      <w:pPr>
        <w:keepNext w:val="0"/>
        <w:keepLines w:val="0"/>
        <w:widowControl w:val="0"/>
        <w:suppressLineNumbers w:val="0"/>
        <w:spacing w:before="0" w:beforeAutospacing="0" w:after="0" w:afterAutospacing="0"/>
        <w:ind w:left="0" w:right="0" w:firstLine="1001" w:firstLineChars="455"/>
        <w:jc w:val="both"/>
        <w:rPr>
          <w:rFonts w:eastAsia="仿宋_GB2312"/>
          <w:lang w:val="en-US"/>
        </w:rPr>
      </w:pPr>
    </w:p>
    <w:p w14:paraId="0E1B5549">
      <w:pPr>
        <w:keepNext w:val="0"/>
        <w:keepLines w:val="0"/>
        <w:widowControl w:val="0"/>
        <w:suppressLineNumbers w:val="0"/>
        <w:spacing w:before="0" w:beforeAutospacing="0" w:after="0" w:afterAutospacing="0"/>
        <w:ind w:left="0" w:right="0"/>
        <w:jc w:val="both"/>
        <w:rPr>
          <w:rFonts w:eastAsia="仿宋_GB2312"/>
          <w:lang w:val="en-US"/>
        </w:rPr>
      </w:pPr>
    </w:p>
    <w:p w14:paraId="3168A511">
      <w:pPr>
        <w:keepNext w:val="0"/>
        <w:keepLines w:val="0"/>
        <w:widowControl w:val="0"/>
        <w:suppressLineNumbers w:val="0"/>
        <w:spacing w:before="0" w:beforeAutospacing="0" w:after="0" w:afterAutospacing="0"/>
        <w:ind w:left="0" w:right="0"/>
        <w:jc w:val="center"/>
        <w:rPr>
          <w:rFonts w:eastAsia="仿宋_GB2312"/>
          <w:b/>
          <w:bCs w:val="0"/>
          <w:sz w:val="48"/>
          <w:szCs w:val="48"/>
          <w:lang w:val="en-US"/>
        </w:rPr>
      </w:pPr>
    </w:p>
    <w:p w14:paraId="1C80A6EF">
      <w:pPr>
        <w:keepNext w:val="0"/>
        <w:keepLines w:val="0"/>
        <w:widowControl w:val="0"/>
        <w:suppressLineNumbers w:val="0"/>
        <w:spacing w:before="0" w:beforeAutospacing="0" w:after="0" w:afterAutospacing="0"/>
        <w:ind w:left="0" w:right="0"/>
        <w:jc w:val="center"/>
        <w:rPr>
          <w:rFonts w:eastAsia="仿宋_GB2312"/>
          <w:b/>
          <w:bCs w:val="0"/>
          <w:sz w:val="48"/>
          <w:szCs w:val="48"/>
          <w:lang w:val="en-US"/>
        </w:rPr>
      </w:pPr>
    </w:p>
    <w:p w14:paraId="12CC9732">
      <w:pPr>
        <w:keepNext w:val="0"/>
        <w:keepLines w:val="0"/>
        <w:widowControl w:val="0"/>
        <w:suppressLineNumbers w:val="0"/>
        <w:spacing w:before="0" w:beforeAutospacing="0" w:after="0" w:afterAutospacing="0"/>
        <w:ind w:left="0" w:right="0"/>
        <w:jc w:val="center"/>
        <w:rPr>
          <w:rFonts w:eastAsia="仿宋_GB2312"/>
          <w:b/>
          <w:bCs w:val="0"/>
          <w:sz w:val="48"/>
          <w:szCs w:val="48"/>
          <w:lang w:val="en-US"/>
        </w:rPr>
      </w:pPr>
    </w:p>
    <w:p w14:paraId="44DA5A36">
      <w:pPr>
        <w:keepNext w:val="0"/>
        <w:keepLines w:val="0"/>
        <w:widowControl w:val="0"/>
        <w:suppressLineNumbers w:val="0"/>
        <w:spacing w:before="0" w:beforeAutospacing="0" w:after="0" w:afterAutospacing="0"/>
        <w:ind w:left="0" w:right="0"/>
        <w:jc w:val="both"/>
        <w:rPr>
          <w:rFonts w:eastAsia="仿宋_GB2312"/>
          <w:b/>
          <w:bCs w:val="0"/>
          <w:sz w:val="48"/>
          <w:szCs w:val="48"/>
          <w:lang w:val="en-US"/>
        </w:rPr>
      </w:pPr>
    </w:p>
    <w:p w14:paraId="329F49B2">
      <w:pPr>
        <w:keepNext w:val="0"/>
        <w:keepLines w:val="0"/>
        <w:widowControl w:val="0"/>
        <w:suppressLineNumbers w:val="0"/>
        <w:spacing w:before="0" w:beforeAutospacing="0" w:after="0" w:afterAutospacing="0"/>
        <w:ind w:left="0" w:right="0"/>
        <w:jc w:val="center"/>
        <w:rPr>
          <w:rFonts w:eastAsia="黑体"/>
          <w:sz w:val="32"/>
          <w:szCs w:val="32"/>
          <w:lang w:val="en-US"/>
        </w:rPr>
      </w:pPr>
      <w:r>
        <w:rPr>
          <w:rFonts w:hint="default" w:ascii="Times New Roman" w:hAnsi="Times New Roman" w:eastAsia="黑体" w:cs="Times New Roman"/>
          <w:kern w:val="2"/>
          <w:sz w:val="32"/>
          <w:szCs w:val="32"/>
          <w:lang w:val="en-US" w:eastAsia="zh-CN" w:bidi="ar"/>
        </w:rPr>
        <w:t>2026</w:t>
      </w:r>
      <w:r>
        <w:rPr>
          <w:rFonts w:hint="eastAsia" w:ascii="Times New Roman" w:hAnsi="Times New Roman" w:eastAsia="黑体" w:cs="黑体"/>
          <w:kern w:val="2"/>
          <w:sz w:val="32"/>
          <w:szCs w:val="32"/>
          <w:lang w:val="en-US" w:eastAsia="zh-CN" w:bidi="ar"/>
        </w:rPr>
        <w:t>年</w:t>
      </w:r>
      <w:r>
        <w:rPr>
          <w:rFonts w:hint="default" w:ascii="Times New Roman" w:hAnsi="Times New Roman" w:eastAsia="黑体" w:cs="Times New Roman"/>
          <w:kern w:val="2"/>
          <w:sz w:val="32"/>
          <w:szCs w:val="32"/>
          <w:lang w:val="en-US" w:eastAsia="zh-CN" w:bidi="ar"/>
        </w:rPr>
        <w:t xml:space="preserve">   8    </w:t>
      </w:r>
      <w:r>
        <w:rPr>
          <w:rFonts w:hint="eastAsia" w:ascii="Times New Roman" w:hAnsi="Times New Roman" w:eastAsia="黑体" w:cs="黑体"/>
          <w:kern w:val="2"/>
          <w:sz w:val="32"/>
          <w:szCs w:val="32"/>
          <w:lang w:val="en-US" w:eastAsia="zh-CN" w:bidi="ar"/>
        </w:rPr>
        <w:t xml:space="preserve">月 </w:t>
      </w:r>
      <w:r>
        <w:rPr>
          <w:rFonts w:hint="default" w:ascii="Times New Roman" w:hAnsi="Times New Roman" w:eastAsia="黑体" w:cs="Times New Roman"/>
          <w:kern w:val="2"/>
          <w:sz w:val="32"/>
          <w:szCs w:val="32"/>
          <w:lang w:val="en-US" w:eastAsia="zh-CN" w:bidi="ar"/>
        </w:rPr>
        <w:t xml:space="preserve">   29  </w:t>
      </w:r>
      <w:r>
        <w:rPr>
          <w:rFonts w:hint="eastAsia" w:ascii="Times New Roman" w:hAnsi="Times New Roman" w:eastAsia="黑体" w:cs="Times New Roman"/>
          <w:kern w:val="2"/>
          <w:sz w:val="32"/>
          <w:szCs w:val="32"/>
          <w:lang w:val="en-US" w:eastAsia="zh-CN" w:bidi="ar"/>
        </w:rPr>
        <w:t xml:space="preserve"> </w:t>
      </w:r>
      <w:r>
        <w:rPr>
          <w:rFonts w:hint="eastAsia" w:ascii="Times New Roman" w:hAnsi="Times New Roman" w:eastAsia="黑体" w:cs="黑体"/>
          <w:kern w:val="2"/>
          <w:sz w:val="32"/>
          <w:szCs w:val="32"/>
          <w:lang w:val="en-US" w:eastAsia="zh-CN" w:bidi="ar"/>
        </w:rPr>
        <w:t>日</w:t>
      </w:r>
    </w:p>
    <w:p w14:paraId="2C4E83E4">
      <w:pPr>
        <w:keepNext w:val="0"/>
        <w:keepLines w:val="0"/>
        <w:widowControl w:val="0"/>
        <w:suppressLineNumbers w:val="0"/>
        <w:spacing w:before="0" w:beforeAutospacing="0" w:after="0" w:afterAutospacing="0"/>
        <w:ind w:left="0" w:right="0"/>
        <w:jc w:val="center"/>
        <w:rPr>
          <w:rFonts w:eastAsia="黑体"/>
          <w:sz w:val="32"/>
          <w:szCs w:val="32"/>
          <w:lang w:val="en-US"/>
        </w:rPr>
      </w:pPr>
    </w:p>
    <w:p w14:paraId="0FBF7BF3">
      <w:pPr>
        <w:spacing w:before="0" w:after="200" w:line="360" w:lineRule="auto"/>
        <w:jc w:val="center"/>
        <w:rPr>
          <w:rFonts w:ascii="黑体" w:hAnsi="黑体" w:eastAsia="黑体"/>
          <w:b/>
          <w:sz w:val="32"/>
        </w:rPr>
      </w:pPr>
    </w:p>
    <w:p w14:paraId="55FCFEC1">
      <w:pPr>
        <w:spacing w:before="0" w:after="200" w:line="360" w:lineRule="auto"/>
        <w:jc w:val="center"/>
      </w:pPr>
      <w:r>
        <w:rPr>
          <w:rFonts w:ascii="黑体" w:hAnsi="黑体" w:eastAsia="黑体"/>
          <w:b/>
          <w:sz w:val="32"/>
        </w:rPr>
        <w:t>关于东莞鸿蒙生态场景化发展的行动总结报告</w:t>
      </w:r>
    </w:p>
    <w:p w14:paraId="6EE1A0F2">
      <w:pPr>
        <w:spacing w:before="0" w:after="200" w:line="360" w:lineRule="auto"/>
        <w:jc w:val="center"/>
      </w:pPr>
      <w:r>
        <w:rPr>
          <w:rFonts w:ascii="宋体" w:hAnsi="宋体" w:eastAsia="宋体"/>
          <w:b w:val="0"/>
          <w:sz w:val="28"/>
        </w:rPr>
        <w:t>——东莞理工学院“鸿蒙之城数智突击队”实践总结</w:t>
      </w:r>
    </w:p>
    <w:p w14:paraId="6DCE93D9">
      <w:pPr>
        <w:spacing w:before="0" w:after="320" w:line="360" w:lineRule="auto"/>
        <w:jc w:val="center"/>
      </w:pPr>
      <w:r>
        <w:rPr>
          <w:rFonts w:ascii="仿宋" w:hAnsi="仿宋" w:eastAsia="仿宋"/>
          <w:b w:val="0"/>
          <w:sz w:val="24"/>
        </w:rPr>
        <w:t>东莞理工学院“鸿蒙之城数智突击队”</w:t>
      </w:r>
    </w:p>
    <w:p w14:paraId="1B2AD1BC">
      <w:pPr>
        <w:spacing w:before="0" w:after="100" w:line="360" w:lineRule="auto"/>
        <w:jc w:val="both"/>
      </w:pPr>
      <w:r>
        <w:rPr>
          <w:rFonts w:ascii="黑体" w:hAnsi="黑体" w:eastAsia="黑体"/>
          <w:b/>
          <w:sz w:val="21"/>
        </w:rPr>
        <w:t>摘要：</w:t>
      </w:r>
      <w:r>
        <w:rPr>
          <w:rFonts w:ascii="宋体" w:hAnsi="宋体" w:eastAsia="宋体"/>
          <w:b w:val="0"/>
          <w:sz w:val="21"/>
        </w:rPr>
        <w:t>2026年7月下旬至8月上旬，东莞理工学院“鸿蒙之城数智突击队”围绕东莞“鸿蒙之城”建设，完成了前期筹备、集中调研和后期材料整理撰写等连续行动。团队以“技术如何进入产业、如何服务城市、如何被市民感知”为主线，走访鸿蒙智行、R&amp;A PARK、华为全屋智能、美宜佳、广东省开源鸿蒙适配中心、慕思健康睡眠、东莞市鸿蒙场景供需对接会、湾区数谷和东莞市民服务中心等点位，综合运用现场体验、半结构化访谈、资料查阅和案例比较等方法，观察开源鸿蒙在智慧出行、智慧家居、产业适配、教育、零售和政务服务中的落地实践。实践发现：东莞具备电子信息制造和场景应用协同的基础，公共适配平台、龙头企业和政府场景正在形成联动；同时，市场订单、长期运维、数据治理和人才供给仍是规模化推广的关键约束。团队据此完成调研资料整理、行动展示网站和实践传播材料，并提出以高频小场景验证、供需对接闭环、分层人才培养和安全治理前置为重点的建议。</w:t>
      </w:r>
    </w:p>
    <w:p w14:paraId="5E0F8E07">
      <w:pPr>
        <w:spacing w:before="0" w:after="240" w:line="360" w:lineRule="auto"/>
        <w:jc w:val="both"/>
      </w:pPr>
      <w:r>
        <w:rPr>
          <w:rFonts w:ascii="黑体" w:hAnsi="黑体" w:eastAsia="黑体"/>
          <w:b/>
          <w:sz w:val="21"/>
        </w:rPr>
        <w:t>关键词：</w:t>
      </w:r>
      <w:r>
        <w:rPr>
          <w:rFonts w:ascii="宋体" w:hAnsi="宋体" w:eastAsia="宋体"/>
          <w:b w:val="0"/>
          <w:sz w:val="21"/>
        </w:rPr>
        <w:t>开源鸿蒙；鸿蒙之城；场景化应用；产教融合；数字治理</w:t>
      </w:r>
    </w:p>
    <w:p w14:paraId="77135236">
      <w:pPr>
        <w:keepNext/>
        <w:spacing w:before="240" w:after="100" w:line="360" w:lineRule="auto"/>
        <w:jc w:val="left"/>
      </w:pPr>
      <w:r>
        <w:rPr>
          <w:rFonts w:ascii="黑体" w:hAnsi="黑体" w:eastAsia="黑体"/>
          <w:b/>
          <w:sz w:val="28"/>
        </w:rPr>
        <w:t>一、行动缘起与实践概况</w:t>
      </w:r>
    </w:p>
    <w:p w14:paraId="53310B73">
      <w:pPr>
        <w:spacing w:before="0" w:after="60" w:line="360" w:lineRule="auto"/>
        <w:ind w:firstLine="567"/>
        <w:jc w:val="both"/>
      </w:pPr>
      <w:r>
        <w:rPr>
          <w:rFonts w:ascii="宋体" w:hAnsi="宋体" w:eastAsia="宋体"/>
          <w:b w:val="0"/>
          <w:sz w:val="24"/>
        </w:rPr>
        <w:t>开源鸿蒙面向多设备协同和全场景智能终端，强调以分布式能力连接不同类型设备。官方技术资料显示，其系统服务层包含分布式软总线、分布式数据管理、分布式调度等基础能力；相关研究也指出，开源鸿蒙的软件工程生态仍处于快速发展阶段，工具链、应用供给、测试验证与人才培养需要多主体长期投入。对于制造业基础雄厚、应用场景丰富的东莞而言，如何把技术能力转化为产业产品和公共服务体验，是“鸿蒙之城”建设能否形成示范效应的现实命题。</w:t>
      </w:r>
    </w:p>
    <w:p w14:paraId="190E80D5">
      <w:pPr>
        <w:spacing w:before="0" w:after="60" w:line="360" w:lineRule="auto"/>
        <w:ind w:firstLine="567"/>
        <w:jc w:val="both"/>
      </w:pPr>
      <w:r>
        <w:rPr>
          <w:rFonts w:ascii="宋体" w:hAnsi="宋体" w:eastAsia="宋体"/>
          <w:b w:val="0"/>
          <w:sz w:val="24"/>
        </w:rPr>
        <w:t>基于这一背景，团队将实践课题确定为“东莞鸿蒙生态的场景化发展研究”。行动不以简单参观为目标，而是尝试沿着“面向用户的体验—面向企业的转化—面向城市的治理”三条线索观察：在消费者侧，了解跨设备协同是否真正降低日常操作成本；在企业侧，了解技术适配、认证、研发和渠道如何形成产品价值；在公共服务侧，了解数字终端能否在安全合规的前提下减少群众办事的重复操作。</w:t>
      </w:r>
    </w:p>
    <w:p w14:paraId="485E9063">
      <w:pPr>
        <w:spacing w:before="0" w:after="60" w:line="360" w:lineRule="auto"/>
        <w:ind w:firstLine="567"/>
        <w:jc w:val="both"/>
      </w:pPr>
      <w:r>
        <w:rPr>
          <w:rFonts w:ascii="宋体" w:hAnsi="宋体" w:eastAsia="宋体"/>
          <w:b w:val="0"/>
          <w:sz w:val="24"/>
        </w:rPr>
        <w:t>本次行动以7月下旬至8月上旬</w:t>
      </w:r>
      <w:bookmarkStart w:id="0" w:name="_GoBack"/>
      <w:bookmarkEnd w:id="0"/>
      <w:r>
        <w:rPr>
          <w:rFonts w:ascii="宋体" w:hAnsi="宋体" w:eastAsia="宋体"/>
          <w:b w:val="0"/>
          <w:sz w:val="24"/>
        </w:rPr>
        <w:t>为主要周期，包含前期资料检索、调研框架设计、点位联络与任务分工，7月28日至</w:t>
      </w:r>
      <w:r>
        <w:rPr>
          <w:rFonts w:hint="eastAsia"/>
          <w:b w:val="0"/>
          <w:sz w:val="24"/>
          <w:lang w:val="en-US" w:eastAsia="zh-CN"/>
        </w:rPr>
        <w:t>7</w:t>
      </w:r>
      <w:r>
        <w:rPr>
          <w:rFonts w:ascii="宋体" w:hAnsi="宋体" w:eastAsia="宋体"/>
          <w:b w:val="0"/>
          <w:sz w:val="24"/>
        </w:rPr>
        <w:t>月</w:t>
      </w:r>
      <w:r>
        <w:rPr>
          <w:rFonts w:hint="eastAsia"/>
          <w:b w:val="0"/>
          <w:sz w:val="24"/>
          <w:lang w:val="en-US" w:eastAsia="zh-CN"/>
        </w:rPr>
        <w:t>31</w:t>
      </w:r>
      <w:r>
        <w:rPr>
          <w:rFonts w:ascii="宋体" w:hAnsi="宋体" w:eastAsia="宋体"/>
          <w:b w:val="0"/>
          <w:sz w:val="24"/>
        </w:rPr>
        <w:t>日的集中走访，以及调研结束后的材料归档、成果整理和报告撰写。集中实践主要在东莞南城、寮步、厚街、松山湖等地开展，并赴广州黄埔参访广东省开源鸿蒙适配中心。团队成员结合专业方向分组记录、交叉讨论，采用实地体验、观察记录、访谈交流、公开资料检索和案例比较相结合的方法。调研对象覆盖场景运营方、技术服务平台、制造企业、政务服务人员及普通使用者，形成了行程记录、访谈提纲与回复、现场照片、新闻稿、实践心得和分组报告等材料。</w:t>
      </w:r>
    </w:p>
    <w:p w14:paraId="3AB64162">
      <w:pPr>
        <w:spacing w:before="0" w:after="60" w:line="360" w:lineRule="auto"/>
        <w:ind w:firstLine="567"/>
        <w:jc w:val="both"/>
      </w:pPr>
      <w:r>
        <w:rPr>
          <w:rFonts w:ascii="宋体" w:hAnsi="宋体" w:eastAsia="宋体"/>
          <w:b w:val="0"/>
          <w:sz w:val="24"/>
        </w:rPr>
        <w:t>行动前期，团队先梳理东莞电子信息、智能家居、数字政务和人工智能产业的基础情况，围绕“看得见的用户体验、说得清的实施机制、可验证的实际价值”设计问题；集中调研后，又对分组笔记、图片、访谈答复和传播素材进行归档复盘，并据此开展报告撰写。实践中坚持不夸大技术成效：对尚处于试点或展示阶段的场景，重点记录其适用边界；对来源不同、统计口径可能不一致的数据，结合走访语境进行说明；对涉及个人信息、睡眠数据和政务数据的内容，始终将安全、授权和责任主体作为观察重点。</w:t>
      </w:r>
    </w:p>
    <w:p w14:paraId="5C9A3238">
      <w:pPr>
        <w:keepNext/>
        <w:spacing w:before="240" w:after="100" w:line="360" w:lineRule="auto"/>
        <w:jc w:val="left"/>
      </w:pPr>
      <w:r>
        <w:rPr>
          <w:rFonts w:ascii="黑体" w:hAnsi="黑体" w:eastAsia="黑体"/>
          <w:b/>
          <w:sz w:val="28"/>
        </w:rPr>
        <w:t>二、沿着场景链条开展调研行动</w:t>
      </w:r>
    </w:p>
    <w:p w14:paraId="51AECAD5">
      <w:pPr>
        <w:keepNext/>
        <w:spacing w:before="160" w:after="100" w:line="360" w:lineRule="auto"/>
        <w:jc w:val="left"/>
      </w:pPr>
      <w:r>
        <w:rPr>
          <w:rFonts w:ascii="黑体" w:hAnsi="黑体" w:eastAsia="黑体"/>
          <w:b/>
          <w:sz w:val="24"/>
        </w:rPr>
        <w:t>（一）从智慧出行和商业空间观察用户可感知的协同体验</w:t>
      </w:r>
    </w:p>
    <w:p w14:paraId="326F1DA1">
      <w:pPr>
        <w:spacing w:before="0" w:after="60" w:line="360" w:lineRule="auto"/>
        <w:ind w:firstLine="567"/>
        <w:jc w:val="both"/>
      </w:pPr>
      <w:r>
        <w:rPr>
          <w:rFonts w:ascii="宋体" w:hAnsi="宋体" w:eastAsia="宋体"/>
          <w:b w:val="0"/>
          <w:sz w:val="24"/>
        </w:rPr>
        <w:t>7月28日，团队首先走进寮步国际汽车城鸿蒙智行用户中心，围绕智能座舱、导航流转、语音交互和“人—车—家”联动开展体验。成员发现，车辆不再只是单一交通工具，正在成为连接个人终端、家庭设备和出行服务的移动节点。连续语音指令、导航任务流转和座舱内多设备协同，使原本分散在手机、车机和家居设备中的操作呈现出更连贯的体验。由此，团队直观理解到分布式能力的价值并不只在于“设备更多”，而在于减少用户在设备之间反复切换、登录和配置的负担。</w:t>
      </w:r>
    </w:p>
    <w:p w14:paraId="1F0BF875">
      <w:pPr>
        <w:spacing w:before="0" w:after="60" w:line="360" w:lineRule="auto"/>
        <w:ind w:firstLine="567"/>
        <w:jc w:val="both"/>
      </w:pPr>
      <w:r>
        <w:rPr>
          <w:rFonts w:ascii="宋体" w:hAnsi="宋体" w:eastAsia="宋体"/>
          <w:b w:val="0"/>
          <w:sz w:val="24"/>
        </w:rPr>
        <w:t>但现场体验同样提示了推广门槛：部分跨终端能力需要特定账号、终端或设备组合才能完整呈现，新用户若不了解生态关系，容易只把它看作普通车机功能。随后在R&amp;A PARK机器人和AI主题商圈的观察中，团队发现人工智能设备、潮玩交互和机器人展示具有较强吸引力，但鸿蒙服务的入口、适用范围和使用步骤并不总是清晰可见。技术进入公共空间，除了设备稳定，更需要场景标识、操作引导和售后支持，让市民知道“何时能用、怎样使用、出现问题找谁”。</w:t>
      </w:r>
    </w:p>
    <w:p w14:paraId="384FDB28">
      <w:pPr>
        <w:spacing w:before="0" w:after="60" w:line="360" w:lineRule="auto"/>
        <w:ind w:firstLine="567"/>
        <w:jc w:val="both"/>
      </w:pPr>
      <w:r>
        <w:rPr>
          <w:rFonts w:ascii="宋体" w:hAnsi="宋体" w:eastAsia="宋体"/>
          <w:b w:val="0"/>
          <w:sz w:val="24"/>
        </w:rPr>
        <w:t>当晚，团队在美宜佳门店体验“碰一碰”支付与会员服务，在华为全屋智能体验店按照入户、客厅、睡眠、起夜和晨起动线体验光照、空调、窗帘等设备协同。零售场景中，近场交互减少了扫码、跳转与输入环节；家庭场景中，设备联动将复杂的控制逻辑转化为与生活节律相关的模式。两类场景共同说明，技术是否被接受，取决于其是否嵌入用户高频任务，而不是功能清单是否丰富。对于商圈、社区等面向大众的场所，先做少量高频、低学习成本、可明确感知价值的服务，比一次性铺设大量终端更重要。</w:t>
      </w:r>
    </w:p>
    <w:p w14:paraId="684A529C">
      <w:pPr>
        <w:keepNext/>
        <w:spacing w:before="160" w:after="100" w:line="360" w:lineRule="auto"/>
        <w:jc w:val="left"/>
      </w:pPr>
      <w:r>
        <w:rPr>
          <w:rFonts w:ascii="黑体" w:hAnsi="黑体" w:eastAsia="黑体"/>
          <w:b/>
          <w:sz w:val="24"/>
        </w:rPr>
        <w:t>（二）从适配平台和制造企业理解技术进入产业的路径</w:t>
      </w:r>
    </w:p>
    <w:p w14:paraId="30F66183">
      <w:pPr>
        <w:spacing w:before="0" w:after="60" w:line="360" w:lineRule="auto"/>
        <w:ind w:firstLine="567"/>
        <w:jc w:val="both"/>
      </w:pPr>
      <w:r>
        <w:rPr>
          <w:rFonts w:ascii="宋体" w:hAnsi="宋体" w:eastAsia="宋体"/>
          <w:b w:val="0"/>
          <w:sz w:val="24"/>
        </w:rPr>
        <w:t>7月29日，团队参访广东省开源鸿蒙适配中心，了解芯片、模组、开发板、整机和应用之间的适配关系。中心介绍，其服务覆盖北向应用适配、南向硬件适配和互联互通适配，并提供咨询、认证、培训和系统集成等支持。调研回复显示，L2标准系统项目周期会随产品功能而变化，通常约为2至4周；XTS认证服务免费，企业主要承担软件开发和硬件改版投入。中心已对接约200家生态企业，行业集中于交通、电力能源和消费电子等领域。</w:t>
      </w:r>
    </w:p>
    <w:p w14:paraId="3589FB99">
      <w:pPr>
        <w:spacing w:before="0" w:after="60" w:line="360" w:lineRule="auto"/>
        <w:ind w:firstLine="567"/>
        <w:jc w:val="both"/>
      </w:pPr>
      <w:r>
        <w:rPr>
          <w:rFonts w:ascii="宋体" w:hAnsi="宋体" w:eastAsia="宋体"/>
          <w:b w:val="0"/>
          <w:sz w:val="24"/>
        </w:rPr>
        <w:t>这些信息使团队认识到，产业鸿蒙化并不是把某个系统“装进设备”即可完成。南向适配涉及系统迁移、驱动和外设等问题，北向适配涉及应用开发与测试，终端上线后还面临版本更新、故障响应和兼容性维护。公共平台能够降低初次进入门槛，却不能替代企业自身的研发决策和长期投入。适配中心反映，企业更关心适配之后是否有稳定市场需求和订单，而非仅仅是否能够通过认证；OpenHarmony系统嵌入式开发、设备适配等岗位也较为紧缺。这与已有研究对新兴生态在工具、开发者与验证体系方面仍需协同建设的判断相互印证。</w:t>
      </w:r>
    </w:p>
    <w:p w14:paraId="4222A16A">
      <w:pPr>
        <w:spacing w:before="0" w:after="60" w:line="360" w:lineRule="auto"/>
        <w:ind w:firstLine="567"/>
        <w:jc w:val="both"/>
      </w:pPr>
      <w:r>
        <w:rPr>
          <w:rFonts w:ascii="宋体" w:hAnsi="宋体" w:eastAsia="宋体"/>
          <w:b w:val="0"/>
          <w:sz w:val="24"/>
        </w:rPr>
        <w:t>当日下午，团队走进慕思健康睡眠股份有限公司，考察鸿蒙智选智能床的研发与应用。企业材料显示，慕思与鸿蒙的合作始于2022年，首款相关产品于2025年上市；截至2026年5月，鸿蒙智选系列累计销售额突破亿元，2026年1—5月约占其智能床销量的40%。床体通过传感、算法和互联能力，可与灯光、空调、窗帘等设备联动，并提供分区调节、柔性唤醒等功能。团队认为，这一案例的意义在于：传统家居企业的数字化转型不是给产品简单增加屏幕或网络功能，而是围绕“睡眠”这一明确需求重组设备、数据、服务和渠道。</w:t>
      </w:r>
    </w:p>
    <w:p w14:paraId="3B4FFE7B">
      <w:pPr>
        <w:spacing w:before="0" w:after="60" w:line="360" w:lineRule="auto"/>
        <w:ind w:firstLine="567"/>
        <w:jc w:val="both"/>
      </w:pPr>
      <w:r>
        <w:rPr>
          <w:rFonts w:ascii="宋体" w:hAnsi="宋体" w:eastAsia="宋体"/>
          <w:b w:val="0"/>
          <w:sz w:val="24"/>
        </w:rPr>
        <w:t>同时，团队没有将智能床案例简单等同于所有中小企业都可复制的路径。慕思具有长期人体工学研究、算法与传感器研发基础，也具备与生态伙伴深度共研的资源。访谈材料表明，其产品认证测试项目明显增加，用户也会关注价格和长期效果。因而，中小制造企业的鸿蒙化更需要根据产品类型、存量设备、订单预期和运维能力分层推进。对于尚未具备复杂设备开发能力的企业，可以优先从既有终端的互联互通、行业应用或标准化模块接入开始，避免高投入但缺乏真实需求支撑的“为了适配而适配”。</w:t>
      </w:r>
    </w:p>
    <w:p w14:paraId="7CA53F9D">
      <w:pPr>
        <w:keepNext/>
        <w:spacing w:before="160" w:after="100" w:line="360" w:lineRule="auto"/>
        <w:jc w:val="left"/>
      </w:pPr>
      <w:r>
        <w:rPr>
          <w:rFonts w:ascii="黑体" w:hAnsi="黑体" w:eastAsia="黑体"/>
          <w:b/>
          <w:sz w:val="24"/>
        </w:rPr>
        <w:t>（三）从供需对接和数字政务观察城市协同机制</w:t>
      </w:r>
    </w:p>
    <w:p w14:paraId="7E55BB84">
      <w:pPr>
        <w:spacing w:before="0" w:after="60" w:line="360" w:lineRule="auto"/>
        <w:ind w:firstLine="567"/>
        <w:jc w:val="both"/>
      </w:pPr>
      <w:r>
        <w:rPr>
          <w:rFonts w:ascii="宋体" w:hAnsi="宋体" w:eastAsia="宋体"/>
          <w:b w:val="0"/>
          <w:sz w:val="24"/>
        </w:rPr>
        <w:t>7月30日，团队旁听东莞市鸿蒙场景供需对接会教育专场。会议围绕智慧图书馆、校园物联平台、电子班牌、智能批阅等方向，组织教育部门、学校和企业交流需求与方案。团队注意到，智慧校园建设最值得关注的不是终端数量，而是教学、管理和学生发展中的实际问题能否被准确界定。例如，课堂分析是否减少教师重复性工作，设备是否与原有平台兼容，学生数据如何授权和保护，发生故障时由谁负责处理，都会影响项目能否从展示走向常态运行。供需对接会的价值，正是在项目建设之前让学校提出可验证的需求，让企业说明实施条件，让主管部门统筹标准、安全和评估。</w:t>
      </w:r>
    </w:p>
    <w:p w14:paraId="55862BD1">
      <w:pPr>
        <w:spacing w:before="0" w:after="60" w:line="360" w:lineRule="auto"/>
        <w:ind w:firstLine="567"/>
        <w:jc w:val="both"/>
      </w:pPr>
      <w:r>
        <w:rPr>
          <w:rFonts w:ascii="宋体" w:hAnsi="宋体" w:eastAsia="宋体"/>
          <w:b w:val="0"/>
          <w:sz w:val="24"/>
        </w:rPr>
        <w:t>7月31日，团队到湾区数谷了解南城数字经济布局、数据要素服务和人工智能产业生态。园区工作人员介绍，数据资源和企业服务平台能够连接生产、供应、库存、营销等环节，也可以为城市治理和企业数字化提供支撑。团队由此认识到，鸿蒙生态不是孤立的软件系统：要实现从终端到场景的持续运行，仍需要园区载体、网络与数据基础设施、系统集成商、运营团队以及政策和金融服务共同参与。不同片区应形成错位协同，避免重复建设相似展厅和平台。</w:t>
      </w:r>
    </w:p>
    <w:p w14:paraId="042FAF22">
      <w:pPr>
        <w:spacing w:before="0" w:after="60" w:line="360" w:lineRule="auto"/>
        <w:ind w:firstLine="567"/>
        <w:jc w:val="both"/>
      </w:pPr>
      <w:r>
        <w:rPr>
          <w:rFonts w:ascii="宋体" w:hAnsi="宋体" w:eastAsia="宋体"/>
          <w:b w:val="0"/>
          <w:sz w:val="24"/>
        </w:rPr>
        <w:t>在东莞市民服务中心鸿蒙AI智办体验区，团队体验了利用鸿蒙终端进行近场信息流转的办事过程。与传统办事方式相比，相关功能能够减少重复登录、填写和上传材料的步骤；与此同时，现场保留人工咨询和“办不成事”反映窗口，体现了数字服务与人工服务的互补关系。团队认为，政务场景的评价不应只看技术新颖程度，而应看群众是否少跑腿、少等待、少填表，以及老年人、非鸿蒙设备使用者和特殊群体是否能平等获得服务。对于身份信息、办事材料等敏感数据，应明确最小必要采集、授权告知、日志留存、异常处置与责任追溯机制，防止便捷性以牺牲隐私和选择权为代价。</w:t>
      </w:r>
    </w:p>
    <w:p w14:paraId="707F1C1D">
      <w:pPr>
        <w:keepNext/>
        <w:spacing w:before="240" w:after="100" w:line="360" w:lineRule="auto"/>
        <w:jc w:val="left"/>
      </w:pPr>
      <w:r>
        <w:rPr>
          <w:rFonts w:ascii="黑体" w:hAnsi="黑体" w:eastAsia="黑体"/>
          <w:b/>
          <w:sz w:val="28"/>
        </w:rPr>
        <w:t>三、行动成果与实践收获</w:t>
      </w:r>
    </w:p>
    <w:p w14:paraId="3B264774">
      <w:pPr>
        <w:keepNext/>
        <w:spacing w:before="160" w:after="100" w:line="360" w:lineRule="auto"/>
        <w:jc w:val="left"/>
      </w:pPr>
      <w:r>
        <w:rPr>
          <w:rFonts w:ascii="黑体" w:hAnsi="黑体" w:eastAsia="黑体"/>
          <w:b/>
          <w:sz w:val="24"/>
        </w:rPr>
        <w:t>（一）形成从技术底座到城市服务的观察框架</w:t>
      </w:r>
    </w:p>
    <w:p w14:paraId="1636CD9A">
      <w:pPr>
        <w:spacing w:before="0" w:after="60" w:line="360" w:lineRule="auto"/>
        <w:ind w:firstLine="567"/>
        <w:jc w:val="both"/>
      </w:pPr>
      <w:r>
        <w:rPr>
          <w:rFonts w:ascii="宋体" w:hAnsi="宋体" w:eastAsia="宋体"/>
          <w:b w:val="0"/>
          <w:sz w:val="24"/>
        </w:rPr>
        <w:t>通过连续走访，团队将原先较为抽象的“鸿蒙生态”拆解为可观察的链条：技术平台提供适配与工具支持，制造企业将能力转化为产品，系统集成与园区服务促进场景部署，政府部门通过公共服务和供需对接形成示范，最终由用户的实际使用检验价值。汽车、家居、零售、教育和政务虽然行业不同，但都需要解决设备互联、交互设计、数据安全、运维服务和投入产出之间的共同问题。这个框架帮助成员把课堂中的操作系统、物联网、数据分析、人工智能和信息安全知识，与产业和城市治理的真实关系对应起来。</w:t>
      </w:r>
    </w:p>
    <w:p w14:paraId="13D209F1">
      <w:pPr>
        <w:keepNext/>
        <w:spacing w:before="160" w:after="100" w:line="360" w:lineRule="auto"/>
        <w:jc w:val="left"/>
      </w:pPr>
      <w:r>
        <w:rPr>
          <w:rFonts w:ascii="黑体" w:hAnsi="黑体" w:eastAsia="黑体"/>
          <w:b/>
          <w:sz w:val="24"/>
        </w:rPr>
        <w:t>（二）沉淀多类型实践成果</w:t>
      </w:r>
    </w:p>
    <w:p w14:paraId="2BF56589">
      <w:pPr>
        <w:spacing w:before="0" w:after="60" w:line="360" w:lineRule="auto"/>
        <w:ind w:firstLine="567"/>
        <w:jc w:val="both"/>
      </w:pPr>
      <w:r>
        <w:rPr>
          <w:rFonts w:ascii="宋体" w:hAnsi="宋体" w:eastAsia="宋体"/>
          <w:b w:val="0"/>
          <w:sz w:val="24"/>
        </w:rPr>
        <w:t>团队在实践过程中完成了调研规划、分组观察记录、企业和平台访谈材料、实践照片、新闻稿和队员心得等过程性成果；在汇总阶段，围绕产业协同、场景应用、供需适配和社区试点形成调研报告初稿，并开发“鸿蒙未来城市探索馆”互动展示页面，把走访点位、典型案例和未来场景以可视化方式呈现。宣传材料没有停留在活动流水账，而是将智能座舱、鸿蒙智能床、教育供需对接和AI智办等案例串联为“技术如何进入日常生活”的叙事，服务于实践传播和后续交流。</w:t>
      </w:r>
    </w:p>
    <w:p w14:paraId="79BA531E">
      <w:pPr>
        <w:keepNext/>
        <w:spacing w:before="160" w:after="100" w:line="360" w:lineRule="auto"/>
        <w:jc w:val="left"/>
      </w:pPr>
      <w:r>
        <w:rPr>
          <w:rFonts w:ascii="黑体" w:hAnsi="黑体" w:eastAsia="黑体"/>
          <w:b/>
          <w:sz w:val="24"/>
        </w:rPr>
        <w:t>（三）深化青年学生的专业责任意识</w:t>
      </w:r>
    </w:p>
    <w:p w14:paraId="1793D909">
      <w:pPr>
        <w:spacing w:before="0" w:after="60" w:line="360" w:lineRule="auto"/>
        <w:ind w:firstLine="567"/>
        <w:jc w:val="both"/>
      </w:pPr>
      <w:r>
        <w:rPr>
          <w:rFonts w:ascii="宋体" w:hAnsi="宋体" w:eastAsia="宋体"/>
          <w:b w:val="0"/>
          <w:sz w:val="24"/>
        </w:rPr>
        <w:t>实践使团队成员更加明确，数字技术不是天然中立的“炫酷功能”</w:t>
      </w:r>
      <w:r>
        <w:rPr>
          <w:rFonts w:hint="eastAsia"/>
          <w:b w:val="0"/>
          <w:sz w:val="24"/>
          <w:lang w:eastAsia="zh-CN"/>
        </w:rPr>
        <w:t>，</w:t>
      </w:r>
      <w:r>
        <w:rPr>
          <w:rFonts w:ascii="宋体" w:hAnsi="宋体" w:eastAsia="宋体"/>
          <w:b w:val="0"/>
          <w:sz w:val="24"/>
        </w:rPr>
        <w:t>其社会价值取决于设计者是否理解真实需求、是否尊重用户差异、是否承担安全责任。参访过程中，成员既看到了企业研发和适配的复杂度，也看到了普通用户面对新终端时的陌生感；既看到了数据提升效率的可能，也认识到数据使用必须有清晰边界。作为计算机及相关专业学生，团队今后不仅要提升开发和系统思维能力，也要在需求调研、无障碍设计、隐私保护和公共沟通中培养面向社会的责任感。</w:t>
      </w:r>
    </w:p>
    <w:p w14:paraId="430273AA">
      <w:pPr>
        <w:keepNext/>
        <w:spacing w:before="240" w:after="100" w:line="360" w:lineRule="auto"/>
        <w:jc w:val="left"/>
      </w:pPr>
      <w:r>
        <w:rPr>
          <w:rFonts w:ascii="黑体" w:hAnsi="黑体" w:eastAsia="黑体"/>
          <w:b/>
          <w:sz w:val="28"/>
        </w:rPr>
        <w:t>四、问题反思与对策建议</w:t>
      </w:r>
    </w:p>
    <w:p w14:paraId="07E69C83">
      <w:pPr>
        <w:keepNext/>
        <w:spacing w:before="160" w:after="100" w:line="360" w:lineRule="auto"/>
        <w:jc w:val="left"/>
      </w:pPr>
      <w:r>
        <w:rPr>
          <w:rFonts w:ascii="黑体" w:hAnsi="黑体" w:eastAsia="黑体"/>
          <w:b/>
          <w:sz w:val="24"/>
        </w:rPr>
        <w:t>（一）以真实需求牵引场景建设，避免重展示轻使用</w:t>
      </w:r>
    </w:p>
    <w:p w14:paraId="6F6D4D5D">
      <w:pPr>
        <w:spacing w:before="0" w:after="60" w:line="360" w:lineRule="auto"/>
        <w:ind w:firstLine="567"/>
        <w:jc w:val="both"/>
      </w:pPr>
      <w:r>
        <w:rPr>
          <w:rFonts w:ascii="宋体" w:hAnsi="宋体" w:eastAsia="宋体"/>
          <w:b w:val="0"/>
          <w:sz w:val="24"/>
        </w:rPr>
        <w:t>当前不少场景仍处于试点、体验或供需对接阶段，技术能力与用户日常任务之间还需要更紧密的连接。建议以社区、园区、校园和政务大厅为单元，优先选择门禁通行、停车缴费、报修提醒、适老服务、办事引导等高频且可量化的小场景，设置明确的试点周期、使用率、办事时长、故障响应和满意度指标。试点结束后，应依据数据和用户反馈决定是否扩展，而非以设备部署数量代替成效。</w:t>
      </w:r>
    </w:p>
    <w:p w14:paraId="06F46C67">
      <w:pPr>
        <w:keepNext/>
        <w:spacing w:before="160" w:after="100" w:line="360" w:lineRule="auto"/>
        <w:jc w:val="left"/>
      </w:pPr>
      <w:r>
        <w:rPr>
          <w:rFonts w:ascii="黑体" w:hAnsi="黑体" w:eastAsia="黑体"/>
          <w:b/>
          <w:sz w:val="24"/>
        </w:rPr>
        <w:t>（二）补齐适配后的市场与运维闭环，降低企业观望成本</w:t>
      </w:r>
    </w:p>
    <w:p w14:paraId="3E55DF6A">
      <w:pPr>
        <w:spacing w:before="0" w:after="60" w:line="360" w:lineRule="auto"/>
        <w:ind w:firstLine="567"/>
        <w:jc w:val="both"/>
      </w:pPr>
      <w:r>
        <w:rPr>
          <w:rFonts w:ascii="宋体" w:hAnsi="宋体" w:eastAsia="宋体"/>
          <w:b w:val="0"/>
          <w:sz w:val="24"/>
        </w:rPr>
        <w:t>适配中心能够解决部分技术和认证问题，但企业是否投入，仍取决于订单、渠道和持续维护的可预期性。建议由公共平台、行业协会、园区和需求单位共同建设已适配产品目录、场景需求清单和测试验证机制，推动供需双方在方案设计前对接；对适合公共采购的成熟产品，可探索以试点订单、联合验证和绩效评价降低首批应用风险。同时，要把版本升级、OTA维护、售后服务和兼容性测试纳入项目预算和验收，避免项目上线后出现“无人维护”的断点。</w:t>
      </w:r>
    </w:p>
    <w:p w14:paraId="3AFF6CB9">
      <w:pPr>
        <w:keepNext/>
        <w:spacing w:before="160" w:after="100" w:line="360" w:lineRule="auto"/>
        <w:jc w:val="left"/>
      </w:pPr>
      <w:r>
        <w:rPr>
          <w:rFonts w:ascii="黑体" w:hAnsi="黑体" w:eastAsia="黑体"/>
          <w:b/>
          <w:sz w:val="24"/>
        </w:rPr>
        <w:t>（三）构建分层递进的产教融合培养路径</w:t>
      </w:r>
    </w:p>
    <w:p w14:paraId="384BB692">
      <w:pPr>
        <w:spacing w:before="0" w:after="60" w:line="360" w:lineRule="auto"/>
        <w:ind w:firstLine="567"/>
        <w:jc w:val="both"/>
      </w:pPr>
      <w:r>
        <w:rPr>
          <w:rFonts w:ascii="宋体" w:hAnsi="宋体" w:eastAsia="宋体"/>
          <w:b w:val="0"/>
          <w:sz w:val="24"/>
        </w:rPr>
        <w:t>产业对OpenHarmony嵌入式开发、设备适配和系统集成能力的需求具有复合性，单次培训难以满足。高校可与适配平台、企业共同建设“基础认知—工具实训—真实项目—岗位认证”的培养链条：低年级侧重操作系统、网络、物联网和安全基础；中高年级通过开发板、组件库和场景任务进行实践；毕业设计、竞赛和社会实践可面向真实需求开展小规模原型验证人才培养规模应与企业岗位和项目节奏相衔接，并通过企业导师评价和项目复盘提升质量，避免证书与实际能力脱节。</w:t>
      </w:r>
    </w:p>
    <w:p w14:paraId="6429C923">
      <w:pPr>
        <w:keepNext/>
        <w:spacing w:before="160" w:after="100" w:line="360" w:lineRule="auto"/>
        <w:jc w:val="left"/>
      </w:pPr>
      <w:r>
        <w:rPr>
          <w:rFonts w:ascii="黑体" w:hAnsi="黑体" w:eastAsia="黑体"/>
          <w:b/>
          <w:sz w:val="24"/>
        </w:rPr>
        <w:t>（四）将数据安全、包容性与公众沟通嵌入建设全过程</w:t>
      </w:r>
    </w:p>
    <w:p w14:paraId="12264407">
      <w:pPr>
        <w:spacing w:before="0" w:after="60" w:line="360" w:lineRule="auto"/>
        <w:ind w:firstLine="567"/>
        <w:jc w:val="both"/>
      </w:pPr>
      <w:r>
        <w:rPr>
          <w:rFonts w:ascii="宋体" w:hAnsi="宋体" w:eastAsia="宋体"/>
          <w:b w:val="0"/>
          <w:sz w:val="24"/>
        </w:rPr>
        <w:t>家居健康数据、校园行为数据和政务身份材料都具有较高敏感性。建议在项目立项阶段明确数据种类、使用目的、授权方式、保存期限、访问权限和退出机制，落实最小必要、分级分类、脱敏处理和审计追踪要求；在面向公众的场景中提供非智能设备替代路径、人工协助和清晰的操作提示，确保技术升级不扩大数字鸿沟。对于用户关心的兼容性、费用、隐私和故障处理，应以简明语言公开说明，建立可反馈、可纠错、可追溯的服务机制。</w:t>
      </w:r>
    </w:p>
    <w:p w14:paraId="4DA6C96B">
      <w:pPr>
        <w:keepNext/>
        <w:spacing w:before="240" w:after="100" w:line="360" w:lineRule="auto"/>
        <w:jc w:val="left"/>
      </w:pPr>
      <w:r>
        <w:rPr>
          <w:rFonts w:ascii="黑体" w:hAnsi="黑体" w:eastAsia="黑体"/>
          <w:b/>
          <w:sz w:val="28"/>
        </w:rPr>
        <w:t>五、结语</w:t>
      </w:r>
    </w:p>
    <w:p w14:paraId="1011123A">
      <w:pPr>
        <w:spacing w:before="0" w:after="60" w:line="360" w:lineRule="auto"/>
        <w:ind w:firstLine="567"/>
        <w:jc w:val="both"/>
      </w:pPr>
      <w:r>
        <w:rPr>
          <w:rFonts w:ascii="宋体" w:hAnsi="宋体" w:eastAsia="宋体"/>
          <w:b w:val="0"/>
          <w:sz w:val="24"/>
        </w:rPr>
        <w:t>贯穿前期筹备、集中走访和后期复盘整理的一周实践让团队看到，“鸿蒙之城”不是单一企业、单一系统或单一展厅能够完成的工程，而是一项连接技术、制造、场景、治理和人的系统性实践。东莞的制造业基础、数字经济载体和丰富的城市生活场景，为开源鸿蒙的应用提供了现实土壤；公共适配平台、龙头企业和政务服务的探索，也已展示出产业协同的可能。与此同时，市场需求、持续运维、数据治理和人才供给的难题，需要在长期实践中逐步回应。</w:t>
      </w:r>
    </w:p>
    <w:p w14:paraId="6F86F3C7">
      <w:pPr>
        <w:spacing w:before="0" w:after="60" w:line="360" w:lineRule="auto"/>
        <w:ind w:firstLine="567"/>
        <w:jc w:val="both"/>
      </w:pPr>
      <w:r>
        <w:rPr>
          <w:rFonts w:ascii="宋体" w:hAnsi="宋体" w:eastAsia="宋体"/>
          <w:b w:val="0"/>
          <w:sz w:val="24"/>
        </w:rPr>
        <w:t>本次行动的价值，在于让青年学生从真实问题出发理解国产基础软件与城市发展之间的关系。团队将继续整理访谈记录和场景资料，完善互动展示和调研成果，并在后续学习中关注开放生态、用户体验和安全治理。未来，团队愿意以专业所学参与更多面向社区、企业和公共服务的数字化实践，把对技术的理解转化为解决具体问题的能力，为东莞高质量发展贡献青年力量。</w:t>
      </w:r>
    </w:p>
    <w:p w14:paraId="0A714D7D">
      <w:pPr>
        <w:keepNext/>
        <w:spacing w:before="240" w:after="100" w:line="360" w:lineRule="auto"/>
        <w:jc w:val="left"/>
      </w:pPr>
      <w:r>
        <w:rPr>
          <w:rFonts w:ascii="黑体" w:hAnsi="黑体" w:eastAsia="黑体"/>
          <w:b/>
          <w:sz w:val="28"/>
        </w:rPr>
        <w:t>参考文献</w:t>
      </w:r>
    </w:p>
    <w:p w14:paraId="67E26AC7">
      <w:pPr>
        <w:spacing w:before="0" w:after="40" w:line="360" w:lineRule="auto"/>
        <w:ind w:left="420" w:hanging="420"/>
        <w:jc w:val="both"/>
      </w:pPr>
      <w:r>
        <w:rPr>
          <w:rFonts w:ascii="宋体" w:hAnsi="宋体" w:eastAsia="宋体"/>
          <w:b w:val="0"/>
          <w:sz w:val="21"/>
        </w:rPr>
        <w:t xml:space="preserve">[1] 开放原子开源基金会.OpenHarmony技术架构与概述[EB/OL]. https://docs.openharmony.cn/. </w:t>
      </w:r>
    </w:p>
    <w:p w14:paraId="2D769CC7">
      <w:pPr>
        <w:spacing w:before="0" w:after="40" w:line="360" w:lineRule="auto"/>
        <w:ind w:left="420" w:hanging="420"/>
        <w:jc w:val="both"/>
        <w:rPr>
          <w:rFonts w:ascii="宋体" w:hAnsi="宋体" w:eastAsia="宋体"/>
          <w:b w:val="0"/>
          <w:sz w:val="21"/>
        </w:rPr>
      </w:pPr>
      <w:r>
        <w:rPr>
          <w:rFonts w:ascii="宋体" w:hAnsi="宋体" w:eastAsia="宋体"/>
          <w:b w:val="0"/>
          <w:sz w:val="21"/>
        </w:rPr>
        <w:t>[2]Li L,Gao X,Sun H,et al.Software Engineering for OpenHarmony:A Research Roadmap[J</w:t>
      </w:r>
      <w:r>
        <w:rPr>
          <w:rFonts w:ascii="宋体" w:hAnsi="宋体" w:eastAsia="宋体"/>
          <w:b w:val="0"/>
          <w:sz w:val="21"/>
        </w:rPr>
        <w:t>]. ACM Computing Surveys,2025,58(2):Article 34.</w:t>
      </w:r>
    </w:p>
    <w:p w14:paraId="69E8E0E5">
      <w:pPr>
        <w:spacing w:before="0" w:after="40" w:line="360" w:lineRule="auto"/>
        <w:ind w:left="420" w:hanging="420"/>
        <w:jc w:val="both"/>
      </w:pPr>
      <w:r>
        <w:rPr>
          <w:rFonts w:ascii="宋体" w:hAnsi="宋体" w:eastAsia="宋体"/>
          <w:b w:val="0"/>
          <w:sz w:val="21"/>
        </w:rPr>
        <w:t>[3] 王大洲, 范春萍.工程生态：内涵分析与研究进路[J]. 工程研究——跨学科视野中的工程, 2023,15(5): 378-389.</w:t>
      </w:r>
    </w:p>
    <w:sectPr>
      <w:footerReference r:id="rId5" w:type="default"/>
      <w:pgSz w:w="12240" w:h="15840"/>
      <w:pgMar w:top="2098" w:right="1474" w:bottom="1984" w:left="1587" w:header="2098" w:footer="170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A7E6">
    <w:pPr>
      <w:pStyle w:val="24"/>
      <w:jc w:val="center"/>
    </w:pPr>
    <w:r>
      <w:rPr>
        <w:rFonts w:ascii="宋体" w:hAnsi="宋体" w:eastAsia="宋体"/>
        <w:b w:val="0"/>
        <w:sz w:val="18"/>
      </w:rPr>
      <w:t xml:space="preserve">- </w:t>
    </w:r>
    <w:r>
      <w:fldChar w:fldCharType="begin"/>
    </w:r>
    <w:r>
      <w:instrText xml:space="preserve"> PAGE </w:instrText>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5F50ED"/>
    <w:rsid w:val="27B9265E"/>
    <w:rsid w:val="29BE3070"/>
    <w:rsid w:val="65605444"/>
    <w:rsid w:val="672D4F56"/>
    <w:rsid w:val="7E696B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5775</Words>
  <Characters>6008</Characters>
  <Lines>0</Lines>
  <Paragraphs>0</Paragraphs>
  <TotalTime>6</TotalTime>
  <ScaleCrop>false</ScaleCrop>
  <LinksUpToDate>false</LinksUpToDate>
  <CharactersWithSpaces>6135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one.</cp:lastModifiedBy>
  <dcterms:modified xsi:type="dcterms:W3CDTF">2026-09-17T06:39:38Z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eyJoZGlkIjoiZDJiYmE5NGU4YmFjMDEyZDk3MTU1MWZhMmIyMWUwMjMiLCJ1c2VySWQiOiIxMzA2ODE5MDkwIn0=</vt:lpwstr>
  </property>
  <property fmtid="{D5CDD505-2E9C-101B-9397-08002B2CF9AE}" pid="3" name="KSOProductBuildVer">
    <vt:lpwstr>2052-12.1.0.28505</vt:lpwstr>
  </property>
  <property fmtid="{D5CDD505-2E9C-101B-9397-08002B2CF9AE}" pid="4" name="ICV">
    <vt:lpwstr>95E237E188CA4C5186E6F833A02354E2_13</vt:lpwstr>
  </property>
</Properties>
</file>