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218005DE">
      <w:pPr>
        <w:keepNext w:val="1"/>
        <w:keepLines w:val="1"/>
        <w:spacing w:before="100" w:beforeAutospacing="1" w:after="100" w:afterAutospacing="1"/>
        <w:ind w:firstLine="0"/>
        <w:jc w:val="center"/>
        <w:outlineLvl w:val="0"/>
        <w:rPr>
          <w:kern w:val="44"/>
          <w:sz w:val="44"/>
          <w:szCs w:val="44"/>
        </w:rPr>
      </w:pPr>
      <w:r>
        <w:rPr>
          <w:rFonts w:hint="eastAsia" w:ascii="仿宋_GB2312" w:hAnsi="仿宋_GB2312" w:eastAsia="仿宋_GB2312" w:cs="仿宋_GB2312"/>
          <w:b w:val="1"/>
          <w:sz w:val="42"/>
        </w:rPr>
        <w:t>从“看见鸿蒙”到“参与建设”——东莞“鸿蒙之城”场景调研社会实践心得</w:t>
      </w:r>
    </w:p>
    <w:p w14:paraId="7C2B6D4A">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摘要</w:t>
      </w:r>
    </w:p>
    <w:p w14:paraId="49B25CD6">
      <w:r>
        <w:rPr>
          <w:rFonts w:hint="eastAsia"/>
        </w:rPr>
        <w:t>2026年暑假，在田盛兰老师和南城团工委的指导下，东莞理工学院计算机学院“鸿蒙之城数智突击队”围绕东莞“鸿蒙之城”建设，于7月31日至8月1日开展了为期两天的实地调研。我们先后走进寮步国际汽车城鸿蒙智行用户中心、R&amp;A PARK、广东省开源鸿蒙适配中心、慕思健康睡眠股份有限公司，旁听东莞市鸿蒙场景供需对接会教育专场，走访湾区数谷和东莞市民服务中心，通过现场体验、企业走访、会议旁听、案例分析和小组讨论，观察人工智能与开源鸿蒙生态如何进入汽车、家居、教育、数据产业和数字政务等真实场景。</w:t>
      </w:r>
    </w:p>
    <w:p w14:paraId="0A495D0B">
      <w:r>
        <w:rPr>
          <w:rFonts w:hint="eastAsia"/>
        </w:rPr>
        <w:t>调研前，我们对鸿蒙的理解更多来自课堂、新闻和产品宣传，容易把鸿蒙简单地等同于某一种手机操作系统，或者把“万物互联”理解成设备之间可以相互连接。走访之后，我们逐渐认识到，鸿蒙建设的难点并不只是把系统装进设备，也不只是开发几个应用，而是要把芯片、模组、设备、软件、标准、数据、人才、服务和用户体验连接起来，形成能够持续运行的生态系统。东莞建设“鸿蒙之城”，既需要技术产品，也需要城市治理者、企业、高校、适配机构和普通市民共同参与。</w:t>
      </w:r>
    </w:p>
    <w:p w14:paraId="7A49EFF8">
      <w:r>
        <w:rPr>
          <w:rFonts w:hint="eastAsia"/>
        </w:rPr>
        <w:t>这次实践让我最深的感受，是技术只有真正进入具体生活，才会显露出完整的价值。汽车里的连续语音操作、手机导航向车机的流转、智能床对卧室环境的联动、智慧校园方案对师生需求的回应、零售数据对供应链的支撑、政务大厅里一次轻轻的“碰一碰”，都说明数字技术的意义最终要落在人的体验和城市运行上。与此同时，我们也看到了新技术推广过程中的现实问题，包括生态入口不够明显、设备和账号门槛较高、行业适配成本较大、专业人才供给不足、数据安全边界需要进一步明确等。本文结合调研过程，记录个人和团队的观察、思考与收获，并尝试从场景落地、产业协同、人才培养、公共服务和青年行动等角度，理解东莞“鸿蒙之城”建设的实践意义。</w:t>
      </w:r>
    </w:p>
    <w:p w14:paraId="14158993">
      <w:r>
        <w:rPr>
          <w:rFonts w:hint="eastAsia"/>
          <w:b w:val="1"/>
        </w:rPr>
        <w:t>关键词：</w:t>
      </w:r>
      <w:r>
        <w:rPr>
          <w:rFonts w:hint="eastAsia"/>
        </w:rPr>
        <w:t xml:space="preserve"> 开源鸿蒙；东莞“鸿蒙之城”；场景落地；生态协同；数字政务；社会实践</w:t>
      </w:r>
    </w:p>
    <w:p w14:paraId="37F61B73">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一、实践概况：分队、时间与调研任务</w:t>
      </w:r>
    </w:p>
    <w:p w14:paraId="63CBB320">
      <w:r>
        <w:rPr>
          <w:rFonts w:hint="eastAsia"/>
        </w:rPr>
        <w:t>本次社会实践由东莞理工学院计算机学院“鸿蒙之城数智突击队”承担，田盛兰老师担任指导老师，南城团工委在联系对接和行程安排上给予了大力支持。突击队成员均为计算机学院在校学生，我们按照对外联络、现场记录、影像拍摄、资料整理和技术分析进行了内部分工，并约定每天行程结束后集中复盘。</w:t>
      </w:r>
    </w:p>
    <w:p w14:paraId="6BFF99EB">
      <w:r>
        <w:rPr>
          <w:rFonts w:hint="eastAsia"/>
        </w:rPr>
        <w:t>实践时间为2026年7月31日至8月1日，共两天，调研地点集中在东莞市寮步镇和南城街道。7月31日上午，我们首先来到寮步国际汽车城鸿蒙智行用户中心体验智能座舱，随后前往以机器人和人工智能为主题的R&amp;A PARK；当天下午，我们走访广东省开源鸿蒙适配中心，了解开源鸿蒙的适配、测试与认证体系。8月1日上午，我们走进慕思健康睡眠股份有限公司，了解鸿蒙技术在智慧家居中的应用，随后旁听东莞市鸿蒙场景供需对接会教育专场；当天下午，我们走访湾区数谷，了解东莞数字经济产业布局与数据要素应用情况，并来到东莞市民服务中心，体验“鸿蒙AI智办”等政务服务场景。两天行程紧凑，覆盖了“车、家、校、政、数”五类典型场景。</w:t>
      </w:r>
    </w:p>
    <w:p w14:paraId="38E506B3">
      <w:r>
        <w:rPr>
          <w:rFonts w:hint="eastAsia"/>
        </w:rPr>
        <w:t>调研方法上，我们采用现场体验、企业走访、会议旁听、案例分析和小组复盘相结合的方式，并统一使用“场景、用户、痛点、技术能力、风险、推广条件”六栏记录表整理材料，尽量把直观感受和事实判断区分开来。我们给自己定了一条原则：既记录产品给人的第一印象，也追问它为什么能够落地、为什么有些功能还没有被更多人使用。</w:t>
      </w:r>
    </w:p>
    <w:p w14:paraId="68FEF8C6">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二、实践目的：在“鸿蒙之城”里寻找技术与生活的连接点</w:t>
      </w:r>
    </w:p>
    <w:p w14:paraId="28FFE837">
      <w:r>
        <w:rPr>
          <w:rFonts w:hint="eastAsia"/>
        </w:rPr>
        <w:t>这次调研的第一个出发点，是东莞“鸿蒙之城”建设本身就是一项正在发生的城市级实践。2023年，东莞将打造“全国鸿蒙智造之城”写入市政府工作报告，并出台政策鼓励龙头企业开展鸿蒙生态链建设，培育国产基础软件生态产业链；2025年，广东省开源鸿蒙适配中心在东莞设立应用中试基地，为区域协同和产业应用提供支撑。2026年3月17日，东莞市人民政府与华为技术有限公司签署全面深化战略合作协议，正式启动“鸿蒙之城”建设，提出以开源鸿蒙为城市级统一数字底座，打造“万物互联、数据驱动、共智赋能、产城共生”的未来城市。同年3月24日，广东（东莞）应用场景创新大会发布了160个场景机会清单、106个能力清单和176个案例清单；4月29日，东莞集中发布“鸿蒙之城”首批八大场景，覆盖政务、教育、医疗、交通、消防、文旅、商圈、气象等关键领域，并加快编制《鸿蒙之城建设三年攻坚方案（2026—2028）》，构建“1+1+N+1”工作格局，计划三年内培育100个以上高价值场景、打造5个全国知名标杆。面对这样一份城市级蓝图，作为计算机学院的学生，我们最想知道的是：宏大的方案在城市里究竟长什么样，普通人能不能真正感受到它的存在。</w:t>
      </w:r>
    </w:p>
    <w:p w14:paraId="76CE3755">
      <w:r>
        <w:rPr>
          <w:rFonts w:hint="eastAsia"/>
        </w:rPr>
        <w:t>基于这一背景，我们把实践目的确定为三个方面。一是了解东莞“鸿蒙之城”建设的总体思路与政策框架，弄清楚开源鸿蒙为什么会被选为城市统一数字底座，以及场景机会清单、企业能力清单、案例清单等机制如何运转。二是实地调研鸿蒙在不同场景中的落地情况，重点观察它在智能座舱、智慧家居、智慧校园、数字政务和数据要素等领域解决了什么问题、还存在哪些障碍，把“落地的场景”作为本次调研的核心对象。三是在真实场景中检验和补充课堂所学，理解一个操作系统从“能运行”到“被使用”再到“被信任”之间还隔着哪些工作，并思考青年学生可以在生态建设中承担什么角色。</w:t>
      </w:r>
    </w:p>
    <w:p w14:paraId="5AE4D9D7">
      <w:r>
        <w:rPr>
          <w:rFonts w:hint="eastAsia"/>
        </w:rPr>
        <w:t>出发之前，我们小组开过几次讨论会。最初大家提出的问题很相似：鸿蒙到底能在哪些地方落地？它和普通的智能设备有什么区别？东莞为什么要建设“鸿蒙之城”？作为计算机学院的学生，我们能为这件事做什么？有人从手机系统的角度理解鸿蒙，有人关注智能汽车，也有人想到智慧家居、智慧校园和数字政务。大家对鸿蒙都有一些零散印象，却缺少一条能够把这些印象串起来的线索。</w:t>
      </w:r>
    </w:p>
    <w:p w14:paraId="7EEDF2EE">
      <w:r>
        <w:rPr>
          <w:rFonts w:hint="eastAsia"/>
        </w:rPr>
        <w:t>我们后来把调研任务概括为一句话：寻找技术与城市生活之间的连接点。东莞“鸿蒙之城”建设给我们的启发，不是简单地去统计已经有多少鸿蒙设备，也不是只去了解某一家企业的产品，而是要观察鸿蒙生态怎样和东莞本地产业、城市空间、公共服务以及青年人才培养结合起来。换句话说，我们要看的不只是“有没有鸿蒙”，还要看“谁在使用、为什么使用、使用后解决了什么问题、推广时还缺什么条件”。</w:t>
      </w:r>
    </w:p>
    <w:p w14:paraId="6F94E541">
      <w:r>
        <w:rPr>
          <w:rFonts w:hint="eastAsia"/>
        </w:rPr>
        <w:t>这个出发点改变了我们的观察方式。我们不再只把自己当作参观者，而是尝试站在不同角色的位置上思考。对于普通市民来说，技术必须简单、可靠，最好不需要额外学习；对于企业来说，技术要能够降低成本、提高效率，或者带来新的产品价值；对于政府来说，技术要服务城市治理，兼顾公平、安全与可持续；对于学校来说，智慧校园不能只是采购设备，还要考虑教师愿不愿意用、学生是否方便用、数据如何保护；对于高校学生来说，除了掌握编程知识，还要了解技术最终会进入怎样的产业和生活。</w:t>
      </w:r>
    </w:p>
    <w:p w14:paraId="43DA8629">
      <w:r>
        <w:rPr>
          <w:rFonts w:hint="eastAsia"/>
        </w:rPr>
        <w:t>调研准备阶段，我们重新梳理了人工智能、信息系统、数据结构、物联网和隐私安全等课程知识。过去在课堂上学习这些内容时，知识常常按照章节分开出现：数据结构讲算法，人工智能讲模型，信息系统讲流程，网络课程讲通信，数据库课程讲存储。真正面对一个智能汽车、智能床或政务终端时，这些知识却会同时出现。一个看似简单的“碰一碰”功能，背后可能涉及设备识别、身份认证、数据传输、权限控制、业务系统对接和异常处理。我们意识到，产业场景不会按照课本章节把问题分开，它要求我们把知识重新组合起来。</w:t>
      </w:r>
    </w:p>
    <w:p w14:paraId="02E46B34">
      <w:r>
        <w:rPr>
          <w:rFonts w:hint="eastAsia"/>
        </w:rPr>
        <w:t>带着这样的准备，我们开始了在东莞的调研。刚开始大家还有一种“去看先进技术”的兴奋感，后来这种兴奋逐渐变成了更具体的责任感。我们不是为了证明鸿蒙有多么完美，也不是为了挑出几个新奇功能，而是希望在真实场景中看到成绩，也看到不足；既记录产品给人的直观感受，也追问它为什么能够落地、为什么有些功能还没有被更多人使用。只有这样，我们的心得才不会停留在参观感想，而能成为对“鸿蒙之城”建设的一次真实回应。</w:t>
      </w:r>
    </w:p>
    <w:p w14:paraId="54A5ED02">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三、实践内容（一）：智能座舱——当汽车成为数字生活入口</w:t>
      </w:r>
    </w:p>
    <w:p w14:paraId="6D934DAD">
      <w:r>
        <w:rPr>
          <w:rFonts w:hint="eastAsia"/>
        </w:rPr>
        <w:t>7月31日上午，我们首先来到寮步国际汽车城鸿蒙智行用户中心。展厅里，问界、智界、享界、尊界等车型依次陈列。与传统汽车展厅相比，这里给人的感受并不只是“看车”，而是进入一个由手机、平板、汽车和全屋智能设备共同构成的体验空间。汽车不再被单独摆放在一个产品类别里，而是和家庭、出行、信息服务联系在一起。我们进入车辆座舱，围绕语音交互、导航流转、系统响应和辅助驾驶等功能进行体验。</w:t>
      </w:r>
    </w:p>
    <w:p w14:paraId="71265E2E">
      <w:r>
        <w:rPr>
          <w:rFonts w:hint="eastAsia"/>
        </w:rPr>
        <w:t>在实际操作中，语音交互给我们留下了很深的印象。过去我们使用车载语音时，往往需要使用比较固定的命令，系统没有听清时还要重复操作。鸿蒙座舱的语音助手对连续指令的响应比较快，在一定程度上可以理解比较自然的表达。我们尝试连续提出多个要求，观察系统能否保持上下文，感受到它正在从“执行单条命令”向“理解用户意图”变化。这个变化看起来只是交互方式的改变，实际上意味着人工智能已经开始影响驾驶过程中的信息获取和操作习惯。</w:t>
      </w:r>
    </w:p>
    <w:p w14:paraId="3AD8099D">
      <w:r>
        <w:rPr>
          <w:rFonts w:hint="eastAsia"/>
        </w:rPr>
        <w:t>导航流转是另一个让我们印象较深的功能。手机上已经规划好的路线，可以进一步流转到车机，减少了上车后重新搜索的步骤。对于经常开车的人来说，这种功能并不一定带来轰动式的变化，却能减少很多细小的麻烦。我们在调研中越来越感觉到，数字技术的价值经常不是体现在“增加了一个多厉害的功能”，而是体现在把多个原本割裂的步骤连起来，让用户少输入一次、少等待一会儿、少记一个账号。真正高频的便利，往往来自这些不起眼的细节。</w:t>
      </w:r>
    </w:p>
    <w:p w14:paraId="0B481527">
      <w:r>
        <w:rPr>
          <w:rFonts w:hint="eastAsia"/>
        </w:rPr>
        <w:t>不过，体验过程中我们也发现，跨终端协同并不是天然就能被所有用户顺畅使用。部分功能需要特定账号、特定设备或特定使用习惯。对于熟悉鸿蒙生态的人来说，这些条件可能并不复杂，但对于第一次接触的消费者来说，可能会产生疑问：为什么我的手机不能实现同样的功能？我需要购买哪些设备？如何进行绑定？数据会被传到哪里？如果产品介绍只展示协同结果，却没有解释使用条件，消费者在体验时就容易产生落差。</w:t>
      </w:r>
    </w:p>
    <w:p w14:paraId="4B7828DF">
      <w:r>
        <w:rPr>
          <w:rFonts w:hint="eastAsia"/>
        </w:rPr>
        <w:t>这让我们想到，生态建设除了技术能力，还需要良好的“第一公里”设计。技术人员可能更关注系统是否能够实现，普通用户则更关注自己是否知道怎么用、是否愿意花时间学、出了问题能不能找到帮助。未来鸿蒙生态在汽车场景中继续扩大时，可以把新手引导、设备兼容说明、账号授权解释和隐私提示做得更清楚。例如，用户第一次坐进车辆时，系统可以根据当前设备自动展示可用功能，并明确哪些功能需要额外条件；当用户进行跨设备流转时，界面可以解释数据流向和授权范围；在展厅体验时，也可以设置面向普通消费者的任务卡，而不是只让工作人员演示。</w:t>
      </w:r>
    </w:p>
    <w:p w14:paraId="3506A236">
      <w:r>
        <w:rPr>
          <w:rFonts w:hint="eastAsia"/>
        </w:rPr>
        <w:t>汽车场景还让我们思考人工智能和安全的关系。语音助手越是能够理解复杂指令，用户越容易把更多操作交给它。可是，驾驶场景对准确性、及时性和可控性要求很高。系统能够理解指令，并不代表所有指令都适合立即执行。哪些操作应该由系统自动完成，哪些操作需要用户确认，哪些场景下必须优先保证驾驶安全，这些都需要在产品设计中明确。我们作为计算机专业学生，过去会把“功能能否实现”看作主要问题，实地体验后才意识到，“功能在什么条件下可以被信任”同样重要。</w:t>
      </w:r>
    </w:p>
    <w:p w14:paraId="074DAEE2">
      <w:r>
        <w:rPr>
          <w:rFonts w:hint="eastAsia"/>
        </w:rPr>
        <w:t>智能座舱给我们的第一课是：汽车智能化的竞争，最终不只是硬件参数和功能数量的竞争，也包括交互是否自然、生态是否开放、服务是否连续、用户是否放心。东莞拥有汽车产业和制造业基础，“鸿蒙+交通”也被列入首批八大场景，计划融入全市智慧交通基座，推进信号联网联控、车路协同和道路隐患智能治理。如果鸿蒙生态能够在本地形成更多适配、开发、测试和服务能力，就可能把汽车从一个产品变成连接城市出行、家庭生活和公共服务的终端。我们看到的是一辆车，但更值得关注的是车背后那条由设备、软件、数据和服务组成的链条。</w:t>
      </w:r>
    </w:p>
    <w:p w14:paraId="582E0AF5">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四、实践内容（二）：R&amp;A PARK——技术展示与日常使用之间</w:t>
      </w:r>
    </w:p>
    <w:p w14:paraId="4130C484">
      <w:r>
        <w:rPr>
          <w:rFonts w:hint="eastAsia"/>
        </w:rPr>
        <w:t>离开鸿蒙智行用户中心后，我们来到以机器人和人工智能为主题的R&amp;A PARK。机器狗、无人机、智能机器人和AI潮玩吸引了不少市民驻足。与汽车展厅相比，这里的场景更加开放，也更接近普通市民的休闲空间。有人对机器人的动作感到好奇，有人尝试和智能设备互动，也有人只是停下来拍照。我们观察到，人工智能产品很容易通过外观、动作和声音吸引注意力，技术以一种可见、可玩的方式进入公共空间。而“鸿蒙+商圈”正是东莞首批八大场景之一，以AI潮玩为核心，探索机器人互动、设备协同和消费场景升级。</w:t>
      </w:r>
    </w:p>
    <w:p w14:paraId="5A58939A">
      <w:r>
        <w:rPr>
          <w:rFonts w:hint="eastAsia"/>
        </w:rPr>
        <w:t>但是，吸引市民停下来，并不等于让市民真正理解技术，更不等于让技术成为生活的一部分。我们注意到，部分鸿蒙服务的入口和场景标识还不够明显。市民可能知道这里有机器人，却不一定知道哪些设备使用了鸿蒙能力，也不一定了解设备之间如何协同。对于展示空间来说，产品本身的“酷”很重要，但如果用户体验结束后没有留下清晰记忆，技术就容易停留在一次性的观看和拍照层面。</w:t>
      </w:r>
    </w:p>
    <w:p w14:paraId="43632E35">
      <w:r>
        <w:rPr>
          <w:rFonts w:hint="eastAsia"/>
        </w:rPr>
        <w:t>这次参观让我们认识到，公共空间中的技术推广需要“可见性”。所谓可见性，不只是把标识放大，而是要让市民能够在合适的时间、合适的位置理解一项技术能为自己做什么。例如，展厅可以设置“从手机到机器人”的任务体验，让市民用自己的设备完成一次控制或信息流转；可以用简单的生活问题引导体验，如“如何让家里的灯光和空调自动进入睡眠模式”“如何把个人信息安全地带到公共服务终端”；也可以通过短视频、图示和现场讲解，把复杂的系统能力翻译成普通人听得懂的语言。</w:t>
      </w:r>
    </w:p>
    <w:p w14:paraId="1286CC37">
      <w:r>
        <w:rPr>
          <w:rFonts w:hint="eastAsia"/>
        </w:rPr>
        <w:t>我们还想到，公共空间是测试技术接受度的好地方。企业在封闭实验室里可以验证功能是否正常，但只有在开放场所中，面对不同年龄、不同职业、不同数字素养的市民，才能看出产品是否真的容易用。一个功能如果必须经过工作人员长时间讲解才能完成，可能说明它还需要继续改进；一个入口如果多数人都找不到，可能说明产品设计和空间设计之间还没有衔接好；一个功能如果只有少数拥有特定设备的人能够体验，也需要考虑如何避免生态推广变成设备门槛。</w:t>
      </w:r>
    </w:p>
    <w:p w14:paraId="2D4D2848">
      <w:r>
        <w:rPr>
          <w:rFonts w:hint="eastAsia"/>
        </w:rPr>
        <w:t>这让我们对“普惠”有了更具体的理解。数字技术不能只服务于最熟悉新设备的人。东莞建设数字城市，既要鼓励创新，也要避免把不会使用新技术的人排除在外。在智能服务不断增加的同时，线下服务、人工咨询和多终端兼容仍然有必要保留。技术应该增加选择，而不是让市民为了办一件事被迫购买某种设备或学习一套复杂流程。鸿蒙生态要走进城市，需要证明它能够提供更好的体验，也需要证明这种体验可以被不同人群平等地获得。</w:t>
      </w:r>
    </w:p>
    <w:p w14:paraId="4AA9E359">
      <w:r>
        <w:rPr>
          <w:rFonts w:hint="eastAsia"/>
        </w:rPr>
        <w:t>R&amp;A PARK给我们的第二课是：技术从展示走向日常，需要场景设计、用户教育和服务保障共同作用。市民愿意靠近，是因为好奇；愿意反复使用，是因为方便；愿意主动传播，是因为切实感到有用。对于“鸿蒙之城”而言，未来可以把更多生态应用放入市民熟悉的公共空间，在公园、社区、商圈、学校和服务大厅中设计低门槛体验，让人们先从一个小功能开始，再逐渐理解跨设备协同的价值。</w:t>
      </w:r>
    </w:p>
    <w:p w14:paraId="6B2AAE01">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五、实践内容（三）：广东省开源鸿蒙适配中心——理解“生态”的具体含义</w:t>
      </w:r>
    </w:p>
    <w:p w14:paraId="24CBCF91">
      <w:r>
        <w:rPr>
          <w:rFonts w:hint="eastAsia"/>
        </w:rPr>
        <w:t>7月31日下午，我们来到广东省开源鸿蒙适配中心。工作人员向我们介绍了芯片、模组、开发板、行业应用以及测试认证等内容。对我们来说，这是一次很重要的认知转变。过去我们谈到操作系统，往往首先想到手机界面、应用商店和系统功能；在适配中心，我们看到操作系统要进入一个行业，必须与底层硬件、开发工具、通信协议和具体业务一起工作。</w:t>
      </w:r>
    </w:p>
    <w:p w14:paraId="0F255C1D">
      <w:r>
        <w:rPr>
          <w:rFonts w:hint="eastAsia"/>
        </w:rPr>
        <w:t>展厅里的南向设备和北向应用，让“生态”不再是一个抽象词。南向适配涉及芯片、传感器、模组和各种设备，北向适配则更多面向应用和服务。设备能否被识别，数据能否被采集，应用能否运行，多个终端能否相互理解，都需要适配和测试。某个企业的产品即使自身功能不错，如果不能和其他设备兼容，用户还是难以获得完整体验。因此，生态不是简单地把很多产品放在一起，而是让不同产品按照一定标准合作。</w:t>
      </w:r>
    </w:p>
    <w:p w14:paraId="00BBFD8C">
      <w:r>
        <w:rPr>
          <w:rFonts w:hint="eastAsia"/>
        </w:rPr>
        <w:t>工作人员提到，适配中心承担开源鸿蒙适配、测试认证、工具支持、人才培训和生态服务等职能。这些工作平时不太容易被普通用户看到，却决定了产业能否稳定发展。企业进行鸿蒙化转型时，可能会遇到芯片选型、驱动开发、应用迁移、接口兼容、性能测试和安全认证等问题。如果每一家企业都从头摸索，成本很高，周期也很长。适配中心能够提供公共服务，帮助企业降低重复投入，也能把政府、高校、企业和开发者连接起来。这也让我们理解，东莞“鸿蒙之城”建设之所以强调公共技术服务能力，正是因为生态不能只靠单个企业的热情。</w:t>
      </w:r>
    </w:p>
    <w:p w14:paraId="33357419">
      <w:r>
        <w:rPr>
          <w:rFonts w:hint="eastAsia"/>
        </w:rPr>
        <w:t>这次走访让我们对“技术落地”的复杂性有了更真实的认识。技术人员在课堂上完成一个小程序，往往只需要关注功能逻辑；企业产品面对的是成千上万台设备、不同硬件版本、长期运行和售后维护。一个开发板上的演示能够成功，不代表产品可以直接进入市场。企业还要考虑稳定性、功耗、兼容性、升级机制、故障恢复和数据安全。鸿蒙生态的发展，需要有机构帮助企业把“能跑起来”推进到“能长期可靠地运行”。</w:t>
      </w:r>
    </w:p>
    <w:p w14:paraId="20A68DFA">
      <w:r>
        <w:rPr>
          <w:rFonts w:hint="eastAsia"/>
        </w:rPr>
        <w:t>适配中心也让我们看到人才培养的重要性。鸿蒙生态需要的人才，不是只会写界面的人，也不是只懂某一种语言的人，而是能够理解操作系统、设备通信、应用开发、测试安全和行业业务的复合型人才。高校课程如果只把学生训练成完成题目的程序员，学生进入企业后可能会发现，真实项目需要面对大量接口、标准和协作问题。作为计算机学院学生，我们需要主动扩大知识边界，既要打牢编程和算法基础，也要学习物联网、嵌入式、人工智能、数据安全和产品设计。</w:t>
      </w:r>
    </w:p>
    <w:p w14:paraId="7AEC8EA3">
      <w:r>
        <w:rPr>
          <w:rFonts w:hint="eastAsia"/>
        </w:rPr>
        <w:t>我们还注意到，开源鸿蒙的开放性为高校和青年开发者提供了参与机会。高校可以把实验室、课程设计和企业需求结合起来，让学生围绕真实设备开展适配实践；学生也可以通过开源项目了解系统架构、参与社区协作，逐渐从“使用者”转变成“建设者”。这对我们这支突击队来说很有启发。调研并不是终点，如果我们只写一篇报告而不再动手实践，理解仍然停留在观察层面。未来，我们可以尝试从小型校园设备、实验室环境监测、宿舍节能管理等低风险场景入手，做一些可验证的原型。</w:t>
      </w:r>
    </w:p>
    <w:p w14:paraId="5E05C1F0">
      <w:r>
        <w:rPr>
          <w:rFonts w:hint="eastAsia"/>
        </w:rPr>
        <w:t>适配中心给我们的第三课是：鸿蒙之城建设的基础，不只在于是否有几个示范产品，更在于是否形成持续的公共技术服务能力。标准、认证、工具、培训和人才像道路一样，平时不一定引人注意，却决定了更多企业能不能顺利进入这条路。东莞如果能够把适配服务与本地制造业、职业教育、高校科研和产业园区结合起来，鸿蒙生态就可能从少数企业的试点，逐步变成更多行业能够使用的共同能力。</w:t>
      </w:r>
    </w:p>
    <w:p w14:paraId="1DB92399">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六、实践内容（四）：慕思智能床——从一件产品看见传统制造业的数字化转型</w:t>
      </w:r>
    </w:p>
    <w:p w14:paraId="04592B43">
      <w:r>
        <w:rPr>
          <w:rFonts w:hint="eastAsia"/>
        </w:rPr>
        <w:t>8月1日上午，我们走进慕思健康睡眠股份有限公司，了解鸿蒙技术在智慧家居领域的应用。智能床给我们的冲击，不是因为床上增加了多少电子元件，而是因为它改变了我们对一件传统产品的理解。床原本主要承担支撑和休息功能，经过传感器、算法、设备连接和场景设计之后，它可以成为卧室空间的智能中枢。</w:t>
      </w:r>
    </w:p>
    <w:p w14:paraId="1A1010C2">
      <w:r>
        <w:rPr>
          <w:rFonts w:hint="eastAsia"/>
        </w:rPr>
        <w:t>在体验场景中，当用户进入睡眠状态，床体能够与灯光、空调、窗帘等设备联动，使室内环境自动切换到相应模式。这里的重点不是某个设备单独“变聪明”，而是多个设备能够根据人的状态共同作出反应。用户不需要逐一关灯、调空调、拉窗帘，系统可以把这些动作组合成一个生活场景。技术让产品从单一功能向空间服务转变，也让传统制造业有机会重新定义自己的产品边界。</w:t>
      </w:r>
    </w:p>
    <w:p w14:paraId="40AB5498">
      <w:r>
        <w:rPr>
          <w:rFonts w:hint="eastAsia"/>
        </w:rPr>
        <w:t>据企业介绍，鸿蒙智能床Pro系列在今年一季度卖了一万多张，为公司业务拓展了新的增长空间。我们在记录这一信息时，并没有只把它理解为一个销售成绩，而是进一步思考：为什么一张床会产生新的市场价值？一方面，消费者对健康睡眠、舒适生活和智能家居的需求增加，产品能够通过数据和联动提供更贴近个人状态的服务；另一方面，企业原本积累的床具制造能力、设计能力和用户渠道，也为智能功能进入家庭提供了基础。鸿蒙技术并没有替代传统制造，而是帮助传统产品与新的生活需求连接起来。</w:t>
      </w:r>
    </w:p>
    <w:p w14:paraId="19A2E537">
      <w:r>
        <w:rPr>
          <w:rFonts w:hint="eastAsia"/>
        </w:rPr>
        <w:t>这件事给我们的启发是，产业数字化不应理解成“给产品加一块屏幕”。如果智能功能只是增加操作步骤，甚至让用户需要学习复杂的控制方式，那么它未必真正改善生活。好的智能产品应该把技术隐藏在顺畅的体验之后，让用户感受到的是舒适、便捷和个性化，而不是不断面对设置、配对和故障提示。智能床的价值，恰恰在于它把设备互联转化成了睡眠场景中的自然变化。</w:t>
      </w:r>
    </w:p>
    <w:p w14:paraId="6430DD43">
      <w:r>
        <w:rPr>
          <w:rFonts w:hint="eastAsia"/>
        </w:rPr>
        <w:t>当然，智能家居也涉及敏感的个人数据。睡眠状态、作息规律和家庭生活习惯都可能属于用户不愿意公开的信息。我们在体验时想到，系统在采集这些数据时，需要明确告知用户采集了什么、用于什么、保存多久、谁可以访问。智能化程度越高，越不能把隐私保护当作附加选项。对于企业来说，数据安全不仅关系到合规，也关系到消费者是否愿意长期使用产品。如果用户担心自己的生活数据被滥用，就很难真正建立对智能家居的信任。</w:t>
      </w:r>
    </w:p>
    <w:p w14:paraId="0D9DAD71">
      <w:r>
        <w:rPr>
          <w:rFonts w:hint="eastAsia"/>
        </w:rPr>
        <w:t>我们还注意到，智慧家居的效果取决于设备之间的兼容程度。如果智能床只能和少数品牌的灯光、空调、窗帘联动，用户的选择会受到限制；如果不同品牌之间缺少统一标准，消费者在装修和购买时就需要反复确认。鸿蒙生态如果能够在设备互联、场景编排和权限管理方面提供更清晰的规范，就能帮助制造企业把更多产品纳入同一个生活系统。对于东莞这样的制造业城市，这种能力尤其重要：东莞拥有数量庞大的工业企业和完整的硬件产业链，家具、家电、照明、五金、电子等企业既可以成为鸿蒙生态的应用方，也可以成为供给方，任何一家企业单独做生态都很困难，协作才可能形成规模。</w:t>
      </w:r>
    </w:p>
    <w:p w14:paraId="4A49BC22">
      <w:r>
        <w:rPr>
          <w:rFonts w:hint="eastAsia"/>
        </w:rPr>
        <w:t>慕思给我们的第四课是：鸿蒙生态与传统制造业结合时，最有价值的地方在于重新组织产品、空间和服务之间的关系。产业升级不是把传统产品贴上“智能”标签，而是从用户真实需要出发，重新设计产品的功能、数据和售后服务。作为计算机专业学生，我们也需要学会理解业务。只有理解睡眠、教育、出行和政务等具体问题，才能开发出真正有用的软件，而不是把技术功能孤立地堆在产品上。</w:t>
      </w:r>
    </w:p>
    <w:p w14:paraId="51D450B0">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七、实践内容（五）：教育专场——技术方案必须回答校园里的真实问题</w:t>
      </w:r>
    </w:p>
    <w:p w14:paraId="50C69893">
      <w:r>
        <w:rPr>
          <w:rFonts w:hint="eastAsia"/>
        </w:rPr>
        <w:t>8月1日上午，我们旁听东莞市鸿蒙场景供需对接会教育专场。会议围绕智慧图书馆、校园物联平台、电子班牌、智能批阅等场景展开，华为、中国联通、中软国际、拓维信息等9家企业介绍解决方案，教育部门、学校和企业代表围绕校园需求交流。与产品体验相比，这场会议让我们看到技术进入学校时的另一面：校园不是展示新技术的橱窗，而是一个拥有复杂业务和明确责任边界的真实组织。而“鸿蒙+校园”同样是首批八大场景之一，计划以东莞湾区中学为试点，构建智慧治理、智慧课堂、智慧科创三位一体的体系。</w:t>
      </w:r>
    </w:p>
    <w:p w14:paraId="7F22CD38">
      <w:r>
        <w:rPr>
          <w:rFonts w:hint="eastAsia"/>
        </w:rPr>
        <w:t>在企业介绍方案时，我们关注的不只是产品能做什么，也在想这些功能会如何影响教师、学生和管理人员。智慧图书馆可以提高借阅效率，但学校还要考虑图书数据如何迁移、设备是否稳定、管理员是否容易维护。电子班牌可以展示课程和通知，但如果信息更新不及时，或者教师需要重复录入，设备反而会增加工作量。智能批阅可以辅助教师处理作业，但评分标准、错误识别和教师复核机制都必须清楚。任何一个校园应用，都不能只看演示效果，还要看它是否真正减少了负担。</w:t>
      </w:r>
    </w:p>
    <w:p w14:paraId="49E1F515">
      <w:r>
        <w:rPr>
          <w:rFonts w:hint="eastAsia"/>
        </w:rPr>
        <w:t>团队了解到，东莞正在探索鸿蒙智慧校园试点方案，建设教育数字基座，打造标杆试点学校，并拓展多个创新应用场景。我们对“数字基座”这个概念有了更具体的理解。学校里有教务系统、学生管理系统、门禁、考勤、图书馆、实验室和校园卡等多种系统，如果这些系统彼此孤立，师生就需要在不同平台之间反复切换，管理人员也很难形成完整的数据视图。数字基座的作用应该是提供统一的基础能力，让不同应用能够在安全权限范围内共享必要的信息。</w:t>
      </w:r>
    </w:p>
    <w:p w14:paraId="5DF1A68B">
      <w:r>
        <w:rPr>
          <w:rFonts w:hint="eastAsia"/>
        </w:rPr>
        <w:t>但数字基座并不意味着所有数据都应该集中、所有设备都应该互联。教育场景中的学生信息、家庭信息、健康信息和学习记录都需要严格保护。数据越多，责任越大。学校在使用智能设备和算法时，应该明确数据采集的必要性，避免为了“智能”而过度收集。学生也应当知道自己的数据如何被使用，教师则需要具备基本的数据安全意识。技术建设如果缺少规则和教育，可能带来新的风险。</w:t>
      </w:r>
    </w:p>
    <w:p w14:paraId="1CA89CE1">
      <w:r>
        <w:rPr>
          <w:rFonts w:hint="eastAsia"/>
        </w:rPr>
        <w:t>校园需求还具有明显的长期性。企业可以在会议上展示一套成熟方案，但学校要考虑项目建成后几年内能否持续使用。设备坏了谁来维修，系统升级是否影响教学，人员调整后谁负责管理，供应商更换后数据能否迁移，这些问题往往比第一次部署更重要。我们认为，智慧校园建设应该尽量采用可扩展、可维护的方案，避免只依赖某一家企业的封闭系统。鸿蒙生态如果能够提供开放接口、统一标准和清晰的运维机制，会更有利于学校长期建设。</w:t>
      </w:r>
    </w:p>
    <w:p w14:paraId="192B9C29">
      <w:r>
        <w:rPr>
          <w:rFonts w:hint="eastAsia"/>
        </w:rPr>
        <w:t>这场会议也让我们思考学生在智慧校园中的角色。学生不是被动接受设备服务的人，也可以成为校园数字化的参与者。学校可以组织学生围绕宿舍节能、图书馆资源推荐、校园安全、失物招领、社团活动和无障碍服务等问题开展调研，提出需求并开发小型应用。这样一来，智慧校园不只是企业向学校提供产品，也成为学生学习和实践的场所。对于计算机学院而言，真实校园本身就是很好的实验场景，许多问题规模适中、反馈直接，适合学生团队长期迭代。</w:t>
      </w:r>
    </w:p>
    <w:p w14:paraId="4CBD3D7D">
      <w:r>
        <w:rPr>
          <w:rFonts w:hint="eastAsia"/>
        </w:rPr>
        <w:t>教育专场给我们的第五课是：技术方案的价值，要由真实需求来决定。一个功能再先进，如果不能减少教师负担、改善学生体验或提高学校管理效率，就很难形成持续使用。东莞“鸿蒙之城”建设若要在教育领域产生示范效应，应该把一线教师和学生的反馈放在重要位置，先做小范围试点，再根据使用情况调整，避免“重设备、轻应用”。</w:t>
      </w:r>
    </w:p>
    <w:p w14:paraId="3A831BA8">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八、实践内容（六）：湾区数谷——从数据流动理解数字经济</w:t>
      </w:r>
    </w:p>
    <w:p w14:paraId="5303250D">
      <w:r>
        <w:rPr>
          <w:rFonts w:hint="eastAsia"/>
        </w:rPr>
        <w:t>8月1日下午，我们走进湾区数谷，了解东莞数字经济产业布局及数据要素应用情况。从南城数字经济相关政策，到人工智能、新型存储、新一代信息技术等产业方向，再到全市数据基础设施建设，我们感受到数字经济不是单个企业的独角戏。企业需要技术，技术需要人才，人才需要平台，平台又需要政策和应用场景支撑。一个城市的数字化发展，必须把这些条件放到同一个产业体系中考虑。</w:t>
      </w:r>
    </w:p>
    <w:p w14:paraId="52833768">
      <w:r>
        <w:rPr>
          <w:rFonts w:hint="eastAsia"/>
        </w:rPr>
        <w:t>工作人员以美宜佳零售数据为例，介绍数据如何连接生产、供应、运输、库存和营销。过去我们看到一条销售记录，可能只把它理解成数据库中的一行信息；在实际经营中，这条记录可以帮助企业判断消费需求、优化货物供应、安排运输和提高库存周转效率。数据价值不在于简单地积累数量，而在于经过清洗、分析和合理使用之后，能够帮助人作出更好的判断。</w:t>
      </w:r>
    </w:p>
    <w:p w14:paraId="5F84C385">
      <w:r>
        <w:rPr>
          <w:rFonts w:hint="eastAsia"/>
        </w:rPr>
        <w:t>这个案例改变了我们对数据的认识。课堂上，我们经常讨论数据结构、数据库和算法，但数据进入产业之后还要面对许多现实条件。数据是否完整，采集是否连续，不同门店的口径是否一致，分析结果能否被业务人员理解，系统给出的建议是否能够执行，这些都会影响数据价值。一个模型即使准确率很高，如果不能嵌入工作流程，也可能只是停留在报告中。数字技术必须和业务动作连接，才会真正产生效果。</w:t>
      </w:r>
    </w:p>
    <w:p w14:paraId="39CDB613">
      <w:r>
        <w:rPr>
          <w:rFonts w:hint="eastAsia"/>
        </w:rPr>
        <w:t>同时，数据流动不能没有边界。零售数据可能包含消费者的购买习惯、时间规律和位置线索，企业使用数据时必须遵守法律法规，进行必要的脱敏和权限管理。数据共享不是越多越好，而是要有明确目的、最小必要和可追溯机制。我们在参观过程中越来越清楚地认识到，隐私安全并不是技术发展的对立面。相反，只有让用户相信数据不会被随意使用，企业才能获得持续的数据来源，数字经济才能稳定发展。</w:t>
      </w:r>
    </w:p>
    <w:p w14:paraId="2D3CA2C8">
      <w:r>
        <w:rPr>
          <w:rFonts w:hint="eastAsia"/>
        </w:rPr>
        <w:t>湾区数谷也让我们看到东莞的产业特点。东莞有大量制造企业和消费场景，数据不只存在于互联网企业，也存在于工厂设备、物流车辆、商场门店、社区服务和政务系统中。如何把分散在不同环节的数据转化为可利用的资源，需要平台、标准和人才。鸿蒙生态在这里可能发挥的作用，不只是连接手机和设备，还可以帮助不同类型的终端更容易接入数字服务。当传感器、机器、应用和管理平台能够以统一方式沟通时，数据采集和业务协同的成本就有机会下降。</w:t>
      </w:r>
    </w:p>
    <w:p w14:paraId="0E55B1EC">
      <w:r>
        <w:rPr>
          <w:rFonts w:hint="eastAsia"/>
        </w:rPr>
        <w:t>我们还想到，东莞数字经济发展不能只追求“大平台”和“大模型”。很多企业真正需要的，可能是一个能够减少人工抄表的系统、一套能预测设备故障的模型、一个能让供应链信息更及时的接口，或者一项让工人更容易使用的终端服务。数字化不一定要从宏大项目开始，也可以从一个具体流程的改进开始。对于中小企业来说，低成本、易部署、能持续维护的方案，可能比复杂但难以使用的平台更有价值。</w:t>
      </w:r>
    </w:p>
    <w:p w14:paraId="4728359D">
      <w:r>
        <w:rPr>
          <w:rFonts w:hint="eastAsia"/>
        </w:rPr>
        <w:t>湾区数谷给我们的第六课是：数据只有在安全、合规、可理解和可执行的条件下，才会从资源变成生产力。东莞建设“鸿蒙之城”时，可以把设备互联、数据治理和人工智能应用结合起来，但必须同步建立权限、审计和隐私保护机制。作为学生，我们也应该在学习算法和工程技术的同时，理解数据伦理和社会责任。未来我们写程序、做系统时，不能只问“能不能采集”，还要问“有没有必要采集”“用户是否知情”“谁可以使用”。</w:t>
      </w:r>
    </w:p>
    <w:p w14:paraId="212E3BDF">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九、实践内容（七）：东莞市民服务中心——一场“碰一碰”背后的公共服务逻辑</w:t>
      </w:r>
    </w:p>
    <w:p w14:paraId="54582F78">
      <w:r>
        <w:rPr>
          <w:rFonts w:hint="eastAsia"/>
        </w:rPr>
        <w:t>当天下午参观湾区数谷后，我们来到东莞市民服务中心，体验鸿蒙技术在政务服务中的应用。在鸿蒙AI智办体验区，工作人员将鸿蒙手机轻轻靠近设备，个人信息便可以快速流转至办事终端，省去了反复输入账号、密码以及查找上传文件等步骤。整个动作很短，但它解决的是群众办理业务时经常遇到的细小麻烦。而“鸿蒙+机关”同样是首批八大场景之一，以AI智能体赋能办公，覆盖智慧会议、通行管理、智能安防等应用，推动办公从被动响应向主动智能升级。</w:t>
      </w:r>
    </w:p>
    <w:p w14:paraId="0604A922">
      <w:r>
        <w:rPr>
          <w:rFonts w:hint="eastAsia"/>
        </w:rPr>
        <w:t>我们以前很少意识到，办政务事项时最让人疲惫的并不一定是业务本身，而是重复填写、反复登录、寻找材料和确认信息。对于年轻人来说，这些步骤可能只是几分钟；对于老年人、临时办事人员或不熟悉智能手机的人来说，操作门槛会更明显。一个自然的设备交互，能够减少输入和等待，也能让群众把注意力放在真正需要办理的事情上。</w:t>
      </w:r>
    </w:p>
    <w:p w14:paraId="752713EB">
      <w:r>
        <w:rPr>
          <w:rFonts w:hint="eastAsia"/>
        </w:rPr>
        <w:t>值得注意的是，其他手机用户仍然可以正常使用相关政务服务，鸿蒙设备则进一步发挥“碰一碰”和跨终端流转等功能优势。这种设计给我们留下了很好的印象。数字政务既要利用新技术提高效率，也要保证基本公共服务的公平可及。如果只有某一种设备才能办事，就会形成新的数字壁垒；如果不同设备都能完成基本流程，而部分设备提供更顺畅的体验，技术创新就更像是在增加选择。</w:t>
      </w:r>
    </w:p>
    <w:p w14:paraId="2E1E1D71">
      <w:r>
        <w:rPr>
          <w:rFonts w:hint="eastAsia"/>
        </w:rPr>
        <w:t>“碰一碰”背后包含着身份认证、信息授权和系统对接等复杂过程。用户把手机靠近终端，不等于可以无条件地把全部个人信息交出去。系统需要明确告诉用户，本次办事需要哪些信息，信息将被传递给哪个业务系统，是否需要本人确认，办理结束后数据如何处理。动作越简单，越要把背后的安全机制做好。用户看不见的地方，系统必须更加可靠。</w:t>
      </w:r>
    </w:p>
    <w:p w14:paraId="443196CE">
      <w:r>
        <w:rPr>
          <w:rFonts w:hint="eastAsia"/>
        </w:rPr>
        <w:t>我们还思考了政务服务中的容错问题。手机没电、网络不稳定、设备不兼容或者用户不愿意使用碰一碰时，是否仍然有传统办理方式？如果系统识别错误，群众能否撤销授权、重新操作并获得人工帮助？一项技术只有在正常情况和异常情况下都能为用户提供清晰路径，才算真正成熟。政务场景不能只展示顺利的一次体验，更要考虑各种现实中的不确定性。</w:t>
      </w:r>
    </w:p>
    <w:p w14:paraId="22CADE3A">
      <w:r>
        <w:rPr>
          <w:rFonts w:hint="eastAsia"/>
        </w:rPr>
        <w:t>市民服务中心让我们感受到，数字化治理不一定要以复杂形式出现。群众可能不会关心系统采用了什么框架，也不会因为后台有多少设备而感到满意，他们更在意办事是否少跑一次、少填一张表、少等待一会儿。技术创新的意义，经常体现在这些细节里。对计算机专业学生而言，这也是一种重要提醒：系统设计的最终评价者不是开发者，而是每天使用它的人。</w:t>
      </w:r>
    </w:p>
    <w:p w14:paraId="177A22CC">
      <w:r>
        <w:rPr>
          <w:rFonts w:hint="eastAsia"/>
        </w:rPr>
        <w:t>市民服务中心给我们的第七课是：数字政务要把技术能力转化成群众能感受到的便利，同时把公平、安全和人工服务保留在系统中。鸿蒙在公共服务领域的应用，不应只追求“展示新功能”，而应围绕高频事项、复杂事项和特殊人群持续优化。东莞作为一座制造业和人口流动都很活跃的城市，政务服务场景丰富，完全可以通过小步试点和持续反馈，让更多跨终端服务真正解决群众问题。</w:t>
      </w:r>
    </w:p>
    <w:p w14:paraId="5E045A61">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十、实践结果：我们看到的成绩、问题与初步共识</w:t>
      </w:r>
    </w:p>
    <w:p w14:paraId="33DDC997">
      <w:r>
        <w:rPr>
          <w:rFonts w:hint="eastAsia"/>
        </w:rPr>
        <w:t>两天的集中调研，让我们带回了一份可以继续使用的结果清单。</w:t>
      </w:r>
    </w:p>
    <w:p w14:paraId="5297B408">
      <w:r>
        <w:rPr>
          <w:rFonts w:hint="eastAsia"/>
        </w:rPr>
        <w:t>在成绩方面，我们看到了三点比较明确的进展。第一，场景已经从概念走向具体。八大场景清单里的政务、教育、医疗、交通、消防、文旅、商圈、气象，不再只是文件上的名词，而是能够对应到具体的产品、设备和办理流程；我们在汽车、家居、校园、数据和政务五个领域都看到了正在运行或正在试点的实例。第二，生态已经开始出现分工。政府提供政策与场景，企业提供技术与产品，适配中心提供标准、测试和认证，制造企业提供真实需求与落地载体，高校提供人才与研究，链条上的角色逐渐清晰。第三，本地产业基础正在成为优势。东莞拥有数量庞大的工业企业和完整的硬件产业链，家具、家电、照明、五金、电子等企业既可以成为鸿蒙生态的应用方，也可以成为供给方，这为技术从民用走向工业提供了天然条件。</w:t>
      </w:r>
    </w:p>
    <w:p w14:paraId="529ABF52">
      <w:r>
        <w:rPr>
          <w:rFonts w:hint="eastAsia"/>
        </w:rPr>
        <w:t>在问题方面，我们记录了几类比较集中的障碍。一是入口与认知问题，部分鸿蒙服务的标识不够明显，市民不容易知道哪些设备具备鸿蒙能力、能够获得什么体验；二是门槛问题，跨终端协同往往需要特定账号、特定设备或特定使用习惯，对新用户不够友好，生态推广存在变成“设备门槛”的风险；三是适配成本问题，企业进行鸿蒙化改造需要面对芯片选型、驱动开发、应用迁移、接口兼容、性能测试和安全认证等一系列工作，中小企业单独承担成本较高；四是人才问题，生态需要的是既懂操作系统与设备通信、又懂应用开发与行业业务的复合型人才，目前供给仍然不足；五是数据与信任问题，设备互联越深入，涉及的个人信息和生产数据越多，授权、脱敏、审计和隐私保护机制必须同步跟上；六是可持续运营问题，示范项目建成之后，设备维护、系统升级、人员更替和供应商更换都需要制度安排，否则容易出现“重建设、轻运营”。</w:t>
      </w:r>
    </w:p>
    <w:p w14:paraId="7D7B52D9">
      <w:r>
        <w:rPr>
          <w:rFonts w:hint="eastAsia"/>
        </w:rPr>
        <w:t>在共识方面，我们得出了三点比较一致的判断。第一，技术选择应该由真实需求决定，而不是先定下“鸿蒙化”的目标再去找场景；第二，生态建设的关键不只是产品数量，而是标准、认证、工具、培训和服务这些平时看不见的基础设施；第三，数字化的价值最终要由用户来评价，一个功能如果不能让市民少跑一趟、让教师少做一次重复劳动、让企业少花一笔成本，就很难形成长期使用。</w:t>
      </w:r>
    </w:p>
    <w:p w14:paraId="2D91E8BD">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十一、总结与体会（一）：从“设备互联”到“城市协同”</w:t>
      </w:r>
    </w:p>
    <w:p w14:paraId="24DBC144">
      <w:r>
        <w:rPr>
          <w:rFonts w:hint="eastAsia"/>
        </w:rPr>
        <w:t>两天调研结束后，我们在小组复盘会上重新讨论“鸿蒙是什么”。大家的答案已经和出发前不一样。我们不再把它简单看成一个手机系统，也不把它仅仅理解为“设备互联”的技术。鸿蒙更像是一种让不同设备、不同应用、不同组织能够协同工作的基础能力。当然，这种协同能否实现，还取决于标准、接口、数据、人才和治理机制。</w:t>
      </w:r>
    </w:p>
    <w:p w14:paraId="40B2DE46">
      <w:r>
        <w:rPr>
          <w:rFonts w:hint="eastAsia"/>
        </w:rPr>
        <w:t>第一，鸿蒙的价值体现在跨设备协同。汽车场景中，手机导航可以流转到车机；家居场景中，智能床可以联动灯光、空调和窗帘；政务场景中，手机可以与办事终端进行身份和材料流转。这些功能的共同点，不是设备数量增加，而是用户不需要在每一个终端上重新开始。信息能够在授权范围内连续传递，服务就能围绕人的行动展开，而不是要求人适应一个个孤立系统。</w:t>
      </w:r>
    </w:p>
    <w:p w14:paraId="05044955">
      <w:r>
        <w:rPr>
          <w:rFonts w:hint="eastAsia"/>
        </w:rPr>
        <w:t>第二，鸿蒙的价值体现在跨产业协同。慕思的智能床说明操作系统可以进入传统制造业，教育专场说明生态能力可以进入校园，湾区数谷说明设备和数据可以进入零售、存储和人工智能产业。不同产业的问题不同，不能用同一套产品简单复制，但底层的连接、适配和安全能力可以成为共同基础。东莞的优势在于产业门类丰富、制造业基础扎实、应用场景密集，这为鸿蒙生态提供了真实的试验场。</w:t>
      </w:r>
    </w:p>
    <w:p w14:paraId="26F37A2F">
      <w:r>
        <w:rPr>
          <w:rFonts w:hint="eastAsia"/>
        </w:rPr>
        <w:t>第三，鸿蒙的价值体现在跨主体协同。政府需要搭建平台和提供政策支持，企业需要把技术做成产品，适配中心需要提供标准和测试服务，高校需要培养人才、开展研究，用户需要通过使用反馈帮助产品改进。任何一个环节都不能完全替代其他环节。仅靠政府采购，可能形成短期项目；仅靠企业推广，可能难以解决公共标准；仅靠高校研究，可能离实际需求较远。生态的含义，本来就是多个主体共同参与。</w:t>
      </w:r>
    </w:p>
    <w:p w14:paraId="284D85CC">
      <w:r>
        <w:rPr>
          <w:rFonts w:hint="eastAsia"/>
        </w:rPr>
        <w:t>第四，鸿蒙生态需要建立用户信任。用户愿不愿意使用，取决于技术是否好用，也取决于他是否知道数据去了哪里、设备出了问题怎么办、换了设备还能不能继续使用。跨设备协同越顺畅，越要让授权和隐私设置足够透明。对企业而言，信任不是宣传语，而是系统在每一次数据交换和每一次异常处理中的具体表现。</w:t>
      </w:r>
    </w:p>
    <w:p w14:paraId="01E0DFD1">
      <w:r>
        <w:rPr>
          <w:rFonts w:hint="eastAsia"/>
        </w:rPr>
        <w:t>第五，生态建设必须允许不同程度的参与。并不是每个市民都需要购买全套智能设备，也不是每家企业都要一次性完成全面鸿蒙化。对于普通用户，可以先从一个便民服务开始；对于企业，可以先适配一个设备或一个业务流程；对于学校，可以先选择一个试点场景；对于高校学生，可以先完成一个小型应用。只要路径清晰、成本可控、收益能够看见，参与者才会逐步增加。</w:t>
      </w:r>
    </w:p>
    <w:p w14:paraId="6B691110">
      <w:r>
        <w:rPr>
          <w:rFonts w:hint="eastAsia"/>
        </w:rPr>
        <w:t>经过这次调研，我们对“鸿蒙之城”建设的理解也更加具体。三年攻坚方案不应该只是一个时间表，而应该是一套逐步扩大场景、完善服务、培养人才和形成机制的过程。第一阶段可以更多关注基础适配和示范场景，把城市数字底座打牢；第二阶段扩大产业和公共服务应用，让更多企业、学校和社区参与进来；第三阶段进一步形成标准、人才和运营体系，让生态能够自己生长。具体节奏当然需要结合东莞实际，但无论分成怎样的阶段，核心都应该是从“有产品”走向“有用户”，从“能展示”走向“能长期运行”。</w:t>
      </w:r>
    </w:p>
    <w:p w14:paraId="70E94E5D">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十二、总结与体会（二）：东莞“鸿蒙之城”场景落地的几点思考</w:t>
      </w:r>
    </w:p>
    <w:p w14:paraId="208D8D80">
      <w:r>
        <w:rPr>
          <w:rFonts w:hint="eastAsia"/>
        </w:rPr>
        <w:t>结合两天走访，我们对鸿蒙可以在东莞落地的场景进行了整理，并结合公开的场景清单做了对照。</w:t>
      </w:r>
    </w:p>
    <w:p w14:paraId="6592C80F">
      <w:r>
        <w:rPr>
          <w:rFonts w:hint="eastAsia"/>
        </w:rPr>
        <w:t>第一类是智慧社区。社区可以从门禁、停车、独居老人关怀、环境监测和公共设施报修等高频事项入手。居民通过手机或社区终端获得服务，物业、街道和相关部门在权限范围内共享必要信息。对于老年人和不熟悉智能设备的人，应保留人工服务和线下通道。社区智能化的重点不是安装很多设备，而是让居民少跑一趟、少打一个电话，物业也能更快发现和处理问题。</w:t>
      </w:r>
    </w:p>
    <w:p w14:paraId="7D3BAE3E">
      <w:r>
        <w:rPr>
          <w:rFonts w:hint="eastAsia"/>
        </w:rPr>
        <w:t>第二类是智慧校园。可以围绕电子班牌、图书馆、实验室、宿舍节能、校园安全和社团服务开展试点。系统需要和现有教务、门禁、校园卡等基础系统进行合理对接，避免师生重复填写信息。学校可以建立学生参与机制，让计算机学院和其他专业学生一起发现问题、设计原型、收集反馈。智慧校园不能只由供应商和管理部门决定，学生和教师的日常体验应该成为评价依据。</w:t>
      </w:r>
    </w:p>
    <w:p w14:paraId="44AAFFA5">
      <w:r>
        <w:rPr>
          <w:rFonts w:hint="eastAsia"/>
        </w:rPr>
        <w:t>第三类是智慧政务。市民服务中心的“碰一碰”可以进一步扩展到更多高频业务，但要把设备兼容、身份授权、异常处理和人工兜底做好。对于新市民、老年人和临时办事人员，可以提供清晰的引导和多种办理方式。政务服务终端也可以与社区、园区和交通场景形成一定协同，但必须以业务必要性和数据安全为前提，不宜为了追求互联而过度汇聚信息。</w:t>
      </w:r>
    </w:p>
    <w:p w14:paraId="4769C965">
      <w:r>
        <w:rPr>
          <w:rFonts w:hint="eastAsia"/>
        </w:rPr>
        <w:t>第四类是智能制造与园区服务。东莞工厂数量多、制造链条长，可以围绕设备状态采集、能耗管理、仓储物流、安全生产和员工服务开展应用。鸿蒙设备接入能力如果能够降低传感器、模组和管理平台之间的沟通成本，就能帮助中小企业以较低成本进行数字化改造。园区还可以建设共享的测试环境和技术服务中心，避免企业每次都独立购买设备和开发基础系统。</w:t>
      </w:r>
    </w:p>
    <w:p w14:paraId="4A8D8BE4">
      <w:r>
        <w:rPr>
          <w:rFonts w:hint="eastAsia"/>
        </w:rPr>
        <w:t>第五类是智慧家居与社区养老。智能床案例说明，传统家具和家电企业可以通过设备联动提供更贴近生活的服务。东莞本地拥有丰富的制造企业，可以围绕睡眠、照明、空气质量、老人起居和家庭安全开发场景。涉及健康和养老数据时，系统必须明确授权范围，并为家属、社区工作人员和医疗服务人员设置不同权限。技术应该帮助老人更安全地生活，也要避免把老人变成被持续监控的对象。</w:t>
      </w:r>
    </w:p>
    <w:p w14:paraId="60378AFC">
      <w:r>
        <w:rPr>
          <w:rFonts w:hint="eastAsia"/>
        </w:rPr>
        <w:t>第六类是智慧交通与智能座舱。东莞产业园区多、通勤需求大，可以探索车路协同、停车引导、园区接驳和公共交通信息服务。汽车终端与手机、社区和办公场景之间可以在用户授权下形成连续体验，例如提前规划路线、到达园区后自动获得停车信息等。涉及辅助驾驶时必须把安全放在首位，不能把体验功能和安全责任混为一谈。</w:t>
      </w:r>
    </w:p>
    <w:p w14:paraId="37396E57">
      <w:r>
        <w:rPr>
          <w:rFonts w:hint="eastAsia"/>
        </w:rPr>
        <w:t>第七类是文旅和公共文化场景。东莞有制造业城市的历史，也有丰富的岭南文化和社区生活。博物馆、图书馆、公园和文化场馆可以通过鸿蒙设备提供导览、预约、无障碍服务和多终端信息流转。公共文化数字化不应只追求互动屏幕数量，而要让不同年龄的人都能获得清晰、可访问的服务。学生团队可以参与内容设计，把技术和城市文化结合起来。</w:t>
      </w:r>
    </w:p>
    <w:p w14:paraId="75E0F9A5">
      <w:r>
        <w:rPr>
          <w:rFonts w:hint="eastAsia"/>
        </w:rPr>
        <w:t>这些场景有一个共同前提：先解决真实问题，再选择技术。我们不建议把“鸿蒙化”作为所有项目的唯一目标，而应该把它放在提升服务体验、连接设备和降低协同成本的框架中考察。一个场景适不适合落地，可以从五个问题判断：用户是否有明确需求，现有流程是否确实存在痛点，鸿蒙能力是否能带来独特改善，数据和安全是否可控，项目建成后是否有人持续维护。只有五个问题都能得到较清楚的回答，场景才有可能从方案变成长期服务。</w:t>
      </w:r>
    </w:p>
    <w:p w14:paraId="07E05B88">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十三、总结与体会（三）：作为计算机学院学生的成长与不足</w:t>
      </w:r>
    </w:p>
    <w:p w14:paraId="1F12D19D">
      <w:r>
        <w:rPr>
          <w:rFonts w:hint="eastAsia"/>
        </w:rPr>
        <w:t>这次实践让我们感到兴奋，也让我们发现自己的不足。以前我们容易把技术理解成代码和功能，把项目理解成按照需求完成开发。到了企业和公共服务现场，我们才发现，真正的技术工作往往要从理解人开始。用户为什么不用？教师为什么觉得麻烦？企业为什么担心适配成本？政府为什么重视安全和公平？这些问题如果没有被理解，代码写得再快也可能解决不了实际问题。</w:t>
      </w:r>
    </w:p>
    <w:p w14:paraId="1C33C6A6">
      <w:r>
        <w:rPr>
          <w:rFonts w:hint="eastAsia"/>
        </w:rPr>
        <w:t>我们的知识结构也需要更加完整。算法和数据结构当然重要，它们训练了逻辑思维和解决问题的能力；但面对智能座舱和智能床，我们还需要了解物联网、嵌入式系统、设备通信和人机交互；面对智慧校园和数字政务，我们需要了解业务流程、权限管理和隐私保护；面对数据产业，我们要学习数据治理、数据质量和数据伦理。计算机专业的边界正在变得更加开放，我们不能只在自己熟悉的技术小圈子里学习。</w:t>
      </w:r>
    </w:p>
    <w:p w14:paraId="5BBAFBEC">
      <w:r>
        <w:rPr>
          <w:rFonts w:hint="eastAsia"/>
        </w:rPr>
        <w:t>我们还需要提高表达和调研能力。实地调研不是把工作人员说过的话全部记录下来，也不是拍照后写几段感想。好的调研要提前提出问题，现场观察细节，区分事实和判断，整理不同主体的观点，最后形成有证据、有逻辑的分析。我们在调研初期曾经出现过记录过于零散的情况，后来通过小组分工和统一表格，把“场景、用户、痛点、技术能力、风险、推广条件”等内容记录下来，才逐渐找到分析方向。</w:t>
      </w:r>
    </w:p>
    <w:p w14:paraId="05B7B7A1">
      <w:r>
        <w:rPr>
          <w:rFonts w:hint="eastAsia"/>
        </w:rPr>
        <w:t>此外，我们还认识到团队协作的重要性。一个人可以完成一项小任务，但要完成一次为期两天的集中社会实践，需要有人负责联系、有人负责记录、有人拍摄、有人整理资料、有人进行技术分析，也需要成员之间及时共享信息。如果每个人只关注自己的部分，最后就容易形成互不相连的材料。实践中的协作方式，和软件项目中的版本管理、任务分工、接口约定其实有相似之处。我们应该把专业方法带进团队工作，也在团队工作中理解专业方法的意义。</w:t>
      </w:r>
    </w:p>
    <w:p w14:paraId="7B9569D0">
      <w:r>
        <w:rPr>
          <w:rFonts w:hint="eastAsia"/>
        </w:rPr>
        <w:t>更重要的是，我们不能把社会实践当作一次性的经历。调研报告完成之后，还可以继续选择一个具体场景做原型验证。例如，围绕校园宿舍节能设计一个设备状态展示和异常提醒系统，围绕社区服务设计一个便民事项入口，围绕政务大厅设计一个授权流程演示。即使原型很小，也能帮助我们把观察转化为实践，把“我觉得可行”变成“我做出来试试看”。</w:t>
      </w:r>
    </w:p>
    <w:p w14:paraId="2060A333">
      <w:pPr>
        <w:keepNext w:val="1"/>
        <w:keepLines w:val="1"/>
        <w:spacing w:before="100" w:beforeAutospacing="1" w:after="100" w:afterAutospacing="1"/>
        <w:ind w:firstLine="0"/>
        <w:outlineLvl w:val="1"/>
        <w:rPr>
          <w:sz w:val="32"/>
          <w:szCs w:val="32"/>
        </w:rPr>
      </w:pPr>
      <w:r>
        <w:rPr>
          <w:rFonts w:hint="eastAsia" w:ascii="仿宋_GB2312" w:hAnsi="仿宋_GB2312" w:eastAsia="仿宋_GB2312" w:cs="仿宋_GB2312"/>
          <w:b w:val="1"/>
          <w:sz w:val="31"/>
        </w:rPr>
        <w:t>十四、结语：把青春答卷写在“鸿蒙之城”的现场</w:t>
      </w:r>
    </w:p>
    <w:p w14:paraId="6ED7EC9D">
      <w:r>
        <w:rPr>
          <w:rFonts w:hint="eastAsia"/>
        </w:rPr>
        <w:t>这次实践期间，“国产操作系统”不再只是课堂中的专业名词。它是一辆汽车里的智能座舱，是一张能够感知睡眠状态的智能床，是校园数字化建设的一套方案，是湾区数谷里流动起来的数据，也是政务大厅中一次轻轻的“碰一碰”。当这些内容被我们亲眼看到、亲手体验、认真讨论之后，鸿蒙不再是一个离我们很远的技术概念，而成为一组和城市生活有关的问题。</w:t>
      </w:r>
    </w:p>
    <w:p w14:paraId="23EBE5D6">
      <w:r>
        <w:rPr>
          <w:rFonts w:hint="eastAsia"/>
        </w:rPr>
        <w:t>我们看到的成绩是真实的。鸿蒙已经在智能汽车、家居、教育、零售和政务等领域形成了应用探索，东莞也正在通过企业、适配机构、园区、学校和政府服务平台推动生态发展。我们看到的挑战同样真实。部分服务入口还不够清楚，跨终端体验存在门槛，企业适配需要成本，专业人才仍需培养，数据流动必须有边界，示范项目如何长期运行也需要继续回答。这些问题并不意味着建设没有价值，反而说明一个生态从试点走向普遍使用时，必须面对产品之外的制度、服务和用户问题。</w:t>
      </w:r>
    </w:p>
    <w:p w14:paraId="656354C2">
      <w:r>
        <w:rPr>
          <w:rFonts w:hint="eastAsia"/>
        </w:rPr>
        <w:t>我们逐渐明白，青年参与“百千万工程”和数字城市建设，不一定要做出一项立刻改变城市的大项目。青年可以从认真观察开始，从提出一个具体问题开始，从学习一项真正需要的技术开始，也可以通过一份有事实支撑的报告，让更多人看到产业和城市正在发生什么。对计算机学院学生来说，把课堂知识写在实践一线，就是把数据结构、人工智能、信息系统和隐私安全放进具体生活里重新理解。</w:t>
      </w:r>
    </w:p>
    <w:p w14:paraId="4CF3EEC5">
      <w:r>
        <w:rPr>
          <w:rFonts w:hint="eastAsia"/>
        </w:rPr>
        <w:t>这次调研也改变了我们对“先进”的判断。先进不只是设备屏幕更大、算法响应更快、功能数量更多。一个系统能不能让老人看懂，能不能让教师少做重复工作，能不能让企业承担得起，能不能在网络故障时继续服务，能不能保护用户隐私，能不能被长期维护，这些同样是先进的一部分。技术如果只在展示厅里令人惊叹，却不能在生活里稳定运行，就还没有完成最后一步。</w:t>
      </w:r>
    </w:p>
    <w:p w14:paraId="2EBD7E18">
      <w:r>
        <w:rPr>
          <w:rFonts w:hint="eastAsia"/>
        </w:rPr>
        <w:t>从寮步国际汽车城到市民服务中心，从智能座舱到政务终端，我们看到的并不是一条已经完成的道路，而是一座城市正在探索的过程。鸿蒙走出实验室之后，面对的是复杂的产业、不同的用户和具体的公共问题。它需要技术，也需要耐心；需要产品，也需要标准；需要企业投入，也需要政府、高校、适配机构和市民一起参与。</w:t>
      </w:r>
    </w:p>
    <w:p w14:paraId="5BC4A19E">
      <w:r>
        <w:rPr>
          <w:rFonts w:hint="eastAsia"/>
        </w:rPr>
        <w:t>未来，团队将继续整理现场照片、访谈记录和调研材料，围绕鸿蒙生态的产业协同机制、跨场景应用、人才需求和推广难点形成实践报告及相关成果。我们也希望把调研中的问题带回校园，把东莞真实的产业需求转化为课程实践、创新项目和志愿服务的选题。也许我们现在还没有足够能力解决所有问题，但可以从一个小场景开始，从一次用户访谈开始，从一个可运行的原型开始。</w:t>
      </w:r>
    </w:p>
    <w:p w14:paraId="64E3015C">
      <w:r>
        <w:rPr>
          <w:rFonts w:hint="eastAsia"/>
        </w:rPr>
        <w:t>对我们而言，这份心得不是对两天行程的简单回顾，而是一次重新确认方向的机会。我们愿意继续学习操作系统、人工智能、物联网和数据安全，也愿意学习如何理解产业、服务用户、承担责任。今后继续学习时，我们会多问一句知识能解决什么现实问题；设计系统时，会多考虑一次用户是否容易理解；处理数据时，会多思考一次隐私和责任；参与项目时，会多关注成果能否长期运行。只有这样，社会实践才不会在活动结束后停止，而会转化成持续的专业行动。</w:t>
      </w:r>
    </w:p>
    <w:p w14:paraId="5735B1D1">
      <w:r>
        <w:rPr>
          <w:rFonts w:hint="eastAsia"/>
        </w:rPr>
        <w:t>“鸿蒙之城”仍在建设中，我们也仍在成长中。把青春放到真实场景里检验，把专业放到城市发展中使用，这就是我们能够交出的答卷。</w:t>
      </w:r>
    </w:p>
    <w:p w14:paraId="001000CA">
      <w:pPr>
        <w:pStyle w:val="000001"/>
        <w:spacing w:after="0" w:line="360" w:lineRule="auto"/>
        <w:ind w:firstLine="420"/>
      </w:pPr>
    </w:p>
    <w:sectPr>
      <w:headerReference r:id="rId4" w:type="default"/>
      <w:footerReference r:id="rId5" w:type="first"/>
      <w:footerReference r:id="rId6" w:type="default"/>
      <w:footerReference r:id="rId7" w:type="even"/>
      <w:pgSz w:w="11906" w:h="16838"/>
      <w:pgMar w:top="1440" w:right="1800" w:bottom="1440" w:left="1800"/>
      <w:pgNumType w:fmt="decimal" w:start="1"/>
      <w:docGrid w:type="default"/>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7E459A71">
        <w:pPr>
          <w:framePr w:wrap="none" w:hAnchor="margin" w:vAnchor="text" w:xAlign="center" w:y="1"/>
        </w:pPr>
        <w:r>
          <w:fldChar w:fldCharType="begin"/>
        </w:r>
        <w:r>
          <w:instrText>PAGE</w:instrText>
        </w:r>
        <w:r>
          <w:fldChar w:fldCharType="separate"/>
        </w:r>
        <w:r>
          <w:t>1</w:t>
        </w:r>
        <w:r>
          <w:fldChar w:fldCharType="end"/>
        </w:r>
      </w:p>
    </w:sdtContent>
  </w:sdt>
  <w:p w14:paraId="22363292"/>
</w:ftr>
</file>

<file path=word/footer2.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55448887">
        <w:pPr>
          <w:framePr w:wrap="none" w:hAnchor="margin" w:vAnchor="text" w:xAlign="center" w:y="1"/>
        </w:pPr>
        <w:r>
          <w:fldChar w:fldCharType="begin"/>
        </w:r>
        <w:r>
          <w:instrText>PAGE</w:instrText>
        </w:r>
        <w:r>
          <w:fldChar w:fldCharType="separate"/>
        </w:r>
        <w:r>
          <w:t>1</w:t>
        </w:r>
        <w:r>
          <w:fldChar w:fldCharType="end"/>
        </w:r>
      </w:p>
    </w:sdtContent>
  </w:sdt>
  <w:p w14:paraId="19365178"/>
</w:ftr>
</file>

<file path=word/footer3.xml><?xml version="1.0" encoding="utf-8"?>
<w:ftr xmlns:w="http://schemas.openxmlformats.org/wordprocessingml/2006/main" xmlns:w14="http://schemas.microsoft.com/office/word/2010/wordml" xmlns:mc="http://schemas.openxmlformats.org/markup-compatibility/2006" mc:Ignorable="w14">
  <w:sdt>
    <w:sdtPr>
      <w:docPartObj>
        <w:docPartGallery w:val="Page Numbers (Bottom of Page)"/>
        <w:docPartUnique w:val="1"/>
      </w:docPartObj>
    </w:sdtPr>
    <w:sdtContent>
      <w:p w14:paraId="0C44B9BE">
        <w:pPr>
          <w:framePr w:wrap="none" w:hAnchor="margin" w:vAnchor="text" w:xAlign="center" w:y="1"/>
        </w:pPr>
        <w:r>
          <w:fldChar w:fldCharType="begin"/>
        </w:r>
        <w:r>
          <w:instrText>PAGE</w:instrText>
        </w:r>
        <w:r>
          <w:fldChar w:fldCharType="separate"/>
        </w:r>
        <w:r>
          <w:t>1</w:t>
        </w:r>
        <w:r>
          <w:fldChar w:fldCharType="end"/>
        </w:r>
      </w:p>
    </w:sdtContent>
  </w:sdt>
  <w:p w14:paraId="71D6D19F"/>
</w:ftr>
</file>

<file path=word/header1.xml><?xml version="1.0" encoding="utf-8"?>
<w:hdr xmlns:w="http://schemas.openxmlformats.org/wordprocessingml/2006/main" xmlns:w14="http://schemas.microsoft.com/office/word/2010/wordml" xmlns:mc="http://schemas.openxmlformats.org/markup-compatibility/2006" mc:Ignorable="w14">
  <w:p w14:paraId="650CD33B">
    <w:pPr>
      <w:jc w:val="center"/>
    </w:pPr>
    <w:r>
      <w:rPr>
        <w:rFonts w:hint="eastAsia"/>
      </w:rPr>
      <w:t>东莞理工学院“鸿蒙之城”数智突击队社会实践心得</w:t>
    </w:r>
  </w:p>
</w:hdr>
</file>

<file path=word/settings.xml><?xml version="1.0" encoding="utf-8"?>
<w:settings xmlns:w="http://schemas.openxmlformats.org/wordprocessingml/2006/main">
  <w:zoom w:val="bestFit" w:percent="100"/>
  <w:defaultTabStop w:val="420"/>
  <w:characterSpacingControl w:val="doNotCompress"/>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
  <w:rsids>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eastAsia="zh-CN"/>
</w:settings>
</file>

<file path=word/styles.xml><?xml version="1.0" encoding="utf-8"?>
<w:styles xmlns:w="http://schemas.openxmlformats.org/wordprocessingml/2006/main">
  <w:docDefaults>
    <w:rPrDefault>
      <w:rPr>
        <w:rFonts w:ascii="宋体" w:hAnsi="宋体" w:eastAsia="宋体" w:cs="宋体"/>
        <w:sz w:val="24"/>
        <w:szCs w:val="24"/>
      </w:rPr>
    </w:rPrDefault>
    <w:pPrDefault/>
  </w:docDefaults>
  <w:style w:type="paragraph" w:styleId="000001" w:default="1">
    <w:name w:val="Normal"/>
    <w:qFormat w:val="1"/>
    <w:pPr>
      <w:spacing w:after="0" w:line="360" w:lineRule="auto"/>
      <w:ind w:firstLine="480"/>
    </w:pPr>
    <w:rPr>
      <w:rFonts w:ascii="宋体" w:hAnsi="宋体" w:eastAsia="宋体"/>
      <w:sz w:val="24"/>
      <w:szCs w:val="24"/>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7" Type="http://schemas.openxmlformats.org/officeDocument/2006/relationships/footer" Target="footer3.xml" /><Relationship Id="rId1" Type="http://schemas.openxmlformats.org/officeDocument/2006/relationships/settings" Target="settings.xml" /><Relationship Id="rId3" Type="http://schemas.openxmlformats.org/officeDocument/2006/relationships/theme" Target="theme/theme1.xml" /><Relationship Id="rId6" Type="http://schemas.openxmlformats.org/officeDocument/2006/relationships/footer" Target="footer2.xml" /><Relationship Id="rId4" Type="http://schemas.openxmlformats.org/officeDocument/2006/relationships/header" Target="header1.xml" /><Relationship Id="rId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2026-09-15T10:46:52Z</dcterms:created>
  <dcterms:modified xsi:type="dcterms:W3CDTF">2026-09-15T10:46:52Z</dcterms:modified>
</cp:coreProperties>
</file>