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0"/>
      </w:pPr>
    </w:p>
    <w:p>
      <w:pPr>
        <w:spacing w:before="240" w:after="160"/>
        <w:jc w:val="left"/>
      </w:pPr>
      <w:r>
        <w:rPr>
          <w:rFonts w:ascii="Times New Roman" w:eastAsia="宋体" w:hAnsi="Times New Roman"/>
          <w:b/>
          <w:bCs/>
          <w:color w:val="000000"/>
          <w:sz w:val="28"/>
          <w:szCs w:val="28"/>
        </w:rPr>
        <w:t>一、参访东莞展览馆，感受“鸿蒙首发地”的城市底蕴</w:t>
      </w:r>
    </w:p>
    <w:p>
      <w:pPr>
        <w:spacing w:before="0" w:after="120" w:line="360" w:lineRule="auto"/>
        <w:ind w:firstLine="480"/>
        <w:jc w:val="both"/>
      </w:pPr>
      <w:r>
        <w:rPr>
          <w:rFonts w:ascii="Times New Roman" w:eastAsia="宋体" w:hAnsi="Times New Roman"/>
          <w:b w:val="0"/>
          <w:bCs w:val="0"/>
          <w:color w:val="000000"/>
          <w:sz w:val="24"/>
          <w:szCs w:val="24"/>
        </w:rPr>
        <w:t>七月二十九日上午，一行人前往位于东莞市中心广场鸿福路的东莞展览馆开展参观学习。该馆总建筑面积逾两万六千平方米，展览面积达一万平方米，是一座运用宏大场景、翔实史料与高科技展陈手段，系统再现东莞发展历程、发展成就与发展图景的现代化展览场馆，馆内基本陈列以“历史鸿篇 盛世华章——东莞文明发展大观”为题，涵盖历史篇、经济篇、城市篇与文化篇等板块。实践队此行主要参观了一楼展厅与三楼文化展厅两个部分。</w:t>
      </w:r>
    </w:p>
    <w:p>
      <w:pPr>
        <w:spacing w:before="0" w:after="120" w:line="360" w:lineRule="auto"/>
        <w:ind w:firstLine="480"/>
        <w:jc w:val="both"/>
      </w:pPr>
      <w:r>
        <w:rPr>
          <w:rFonts w:ascii="Times New Roman" w:eastAsia="宋体" w:hAnsi="Times New Roman"/>
          <w:b w:val="0"/>
          <w:bCs w:val="0"/>
          <w:color w:val="000000"/>
          <w:sz w:val="24"/>
          <w:szCs w:val="24"/>
        </w:rPr>
        <w:t>一楼展厅以东莞城市建设与经济发展成就为主线，通过建城、修路、整山、治水等板块的实物陈列与场景复原，直观展现了东莞自改革开放以来从传统农业县向现代制造业名城转型的壮阔历程，也让成员对这座城市“制造业立市”的底色有了更为具体而深刻的认识，为下午理解鸿蒙生态何以选择在东莞落地生根埋下了伏笔。</w:t>
      </w:r>
    </w:p>
    <w:p>
      <w:pPr>
        <w:spacing w:before="0" w:after="120" w:line="360" w:lineRule="auto"/>
        <w:ind w:firstLine="480"/>
        <w:jc w:val="both"/>
      </w:pPr>
      <w:r>
        <w:rPr>
          <w:rFonts w:ascii="Times New Roman" w:eastAsia="宋体" w:hAnsi="Times New Roman"/>
          <w:b w:val="0"/>
          <w:bCs w:val="0"/>
          <w:color w:val="000000"/>
          <w:sz w:val="24"/>
          <w:szCs w:val="24"/>
        </w:rPr>
        <w:t>相较之下，三楼文化展厅带给我们的触动尤为强烈，也是本次参访中笔墨最应着重之处。文化展厅最后接近出口的屏幕影像、灯光装置及交互系统均由鸿蒙操作系统驱动，整个展陈空间的光影切换、内容播放与人机交互浑然一体、流畅自然，使参观者在感受东莞地方文化底蕴的同时，也切身体会到国产操作系统在展陈场景中的成熟应用。这一设计绝非偶然：据公开资料显示，二〇一九年八月九日，华为正是在东莞正式发布了鸿蒙操作系统的首个版本，次日又在此地推介了首款搭载鸿蒙系统的产品“荣耀智慧屏”。此后连续多年，东莞始终是鸿蒙系统新版本发布的首发地，被称为鸿蒙生态的“核心资源原点”。东莞之所以能够承担这一角色，既源于其作为鸿蒙“首发地”的先发优势，也得益于其雄厚的制造业基础与完备的硬件供应链体系——全市拥有超过二十二万家工业企业，制造业占地区生产总值比重长期稳定在百分之五十左右，这与鸿蒙“万物互联、分布式部署”的技术理念高度契合。因此，三楼文化展厅将鸿蒙技术嵌入展陈的灯光与屏幕系统之中，不仅是一种技术展示，更是一种城市身份的自我表达：它以润物无声的方式，向每一位参观者传递出“鸿蒙即东莞、东莞即鸿蒙”的深层叙事，令成员们对国产操作系统从实验室走向千行百业、进而融入城市文化肌理的现实路径，有了极为直观且深刻的体认。</w:t>
      </w:r>
    </w:p>
    <w:p>
      <w:pPr>
        <w:spacing w:before="240" w:after="160"/>
        <w:jc w:val="left"/>
      </w:pPr>
      <w:r>
        <w:rPr>
          <w:rFonts w:ascii="Times New Roman" w:eastAsia="宋体" w:hAnsi="Times New Roman"/>
          <w:b/>
          <w:bCs/>
          <w:color w:val="000000"/>
          <w:sz w:val="28"/>
          <w:szCs w:val="28"/>
        </w:rPr>
        <w:t>二、走进广东开源鸿蒙适配中心，把握“一中心三基地”的协同逻辑</w:t>
      </w:r>
    </w:p>
    <w:p>
      <w:pPr>
        <w:spacing w:before="0" w:after="120" w:line="360" w:lineRule="auto"/>
        <w:ind w:firstLine="480"/>
        <w:jc w:val="both"/>
      </w:pPr>
      <w:r>
        <w:rPr>
          <w:rFonts w:ascii="Times New Roman" w:eastAsia="宋体" w:hAnsi="Times New Roman"/>
          <w:b w:val="0"/>
          <w:bCs w:val="0"/>
          <w:color w:val="000000"/>
          <w:sz w:val="24"/>
          <w:szCs w:val="24"/>
        </w:rPr>
        <w:t>下午，实践队来到广东开源鸿蒙适配中心开展调研学习。据中心相关负责人介绍，该中心是经广东省政府批准设立的全省唯一全栈式开源鸿蒙产业协同中枢，总投资一亿元，定位为公益性质、企业化运作的公共服务平台，由科学城（广州）数字科技集团有限公司与佳都科技牵头，联合华为、电子科技集团第五研究所等单位共建运营，重点构建适配智能体、芯片适配、三方组件库、端云一体、安全能力等五大技术能力，鸿蒙化咨询、适配认证、技术培训、系统集成等四大服务体系，以及北向应用适配、南向应用适配、互联互通适配三大核心平台，并配套建设开源鸿蒙生态发展体验中心，形成业内所称的“五四三一”能力矩阵，为企业提供从芯片、板卡、整机到应用层的一站式适配、测试认证与人才培养服务。</w:t>
      </w:r>
    </w:p>
    <w:p>
      <w:pPr>
        <w:spacing w:before="0" w:after="120" w:line="360" w:lineRule="auto"/>
        <w:ind w:firstLine="480"/>
        <w:jc w:val="both"/>
      </w:pPr>
      <w:r>
        <w:rPr>
          <w:rFonts w:ascii="Times New Roman" w:eastAsia="宋体" w:hAnsi="Times New Roman"/>
          <w:b w:val="0"/>
          <w:bCs w:val="0"/>
          <w:color w:val="000000"/>
          <w:sz w:val="24"/>
          <w:szCs w:val="24"/>
        </w:rPr>
        <w:t>负责人在交流中重点提及了适配中心在“产学融合”方面的探索，介绍了中心如何联合高校与科研院所共同开展鸿蒙人才培养、构建覆盖基础研究、技术攻关、标准制定与行业应用的全链条专家智库，力图为鸿蒙生态的持续壮大储备人才根基。同时，负责人也系统介绍了开源鸿蒙在电力、交通、制造、政务等诸多行业场景中的落地应用，其中印象最为深刻的，是深圳地铁的案例：由佳都科技研发的全国首个开源鸿蒙智慧车站已在深圳地铁落地运行，乘客通过闸机可实现无感通行，站内摄像头、电扶梯、闸机等设备实现协同联动，整座车站如同一个具备感知、响应与进化能力的“智能体”，充分展现了开源鸿蒙分布式、全场景的技术特性与轨道交通行业多设备协同需求之间的高度契合。</w:t>
      </w:r>
    </w:p>
    <w:p>
      <w:pPr>
        <w:spacing w:before="0" w:after="120" w:line="360" w:lineRule="auto"/>
        <w:ind w:firstLine="480"/>
        <w:jc w:val="both"/>
      </w:pPr>
      <w:r>
        <w:rPr>
          <w:rFonts w:ascii="Times New Roman" w:eastAsia="宋体" w:hAnsi="Times New Roman"/>
          <w:b w:val="0"/>
          <w:bCs w:val="0"/>
          <w:color w:val="000000"/>
          <w:sz w:val="24"/>
          <w:szCs w:val="24"/>
        </w:rPr>
        <w:t>交流环节中，实践队就适配中心“一中心、三基地”的布局提出疑问，即广州基地与东莞、佛山基地之间是否存在上下级或主次之分。负责人对此作出解答：三地基地之间并非层级隶属关系，而是依据各自城市的产业特点形成的差异化协同分工。其中，中心总部与广州基地落户黄埔，立足广州、辐射粤港澳大湾区，重点聚焦电力、交通、制造业等行业鸿蒙化改造，并与佳都科技“交鸿”生态协同联动，打造全栈式适配服务体系；东莞、佛山两地基地则协同发展，重点聚焦消费终端的规模化适配，其中东莞凭借其雄厚的智能终端制造基础与完备的硬件供应链，重点承担消费类智能终端产品适配与规模化落地的功能。三地基地各展所长、优势互补，共同构成“统筹规划、区域联动”的产业生态布局，这一安排使实践队进一步理解了广东在开源鸿蒙生态建设中“因地制宜、协同共建”的整体思路。</w:t>
      </w:r>
    </w:p>
    <w:p>
      <w:pPr>
        <w:spacing w:before="240" w:after="160"/>
        <w:jc w:val="left"/>
      </w:pPr>
      <w:r>
        <w:rPr>
          <w:rFonts w:ascii="Times New Roman" w:eastAsia="宋体" w:hAnsi="Times New Roman"/>
          <w:b/>
          <w:bCs/>
          <w:color w:val="000000"/>
          <w:sz w:val="28"/>
          <w:szCs w:val="28"/>
        </w:rPr>
        <w:t>三、慕斯集团：从一张智能床看鸿蒙生态的商业落地与国际化课题</w:t>
      </w:r>
    </w:p>
    <w:p>
      <w:pPr>
        <w:spacing w:before="0" w:after="120" w:line="360" w:lineRule="auto"/>
        <w:ind w:firstLine="480"/>
        <w:jc w:val="both"/>
      </w:pPr>
      <w:r>
        <w:rPr>
          <w:rFonts w:ascii="Times New Roman" w:eastAsia="宋体" w:hAnsi="Times New Roman"/>
          <w:b w:val="0"/>
          <w:bCs w:val="0"/>
          <w:color w:val="000000"/>
          <w:sz w:val="24"/>
          <w:szCs w:val="24"/>
        </w:rPr>
        <w:t>随后，实践队一行前往慕斯集团参访调研。据了解，慕斯与华为鸿蒙的合作始于二〇二二年，是鸿蒙生态在智能睡眠领域最早的合作伙伴之一。二〇二六年三月，双方共同发布了新品“鸿蒙智选 慕思智能床Pro H-DESIGN”，该产品深度融合华为星闪技术与慕思自研的“潮汐算法”，实现了智能床与全屋鸿蒙生态设备之间的场景联动，例如监测到用户进入深睡后自动联动新风系统、检测到打鼾时自动调节头部角度与灯光等。企业方介绍，尽管此次合作由双方共同研发推进，但慕思与华为在用户数据层面仍分别保有独立的数据库，用户睡眠及使用数据分开存储、互不共享，从而在生态联动的同时较好地保障了用户的隐私安全。</w:t>
      </w:r>
    </w:p>
    <w:p>
      <w:pPr>
        <w:spacing w:before="0" w:after="120" w:line="360" w:lineRule="auto"/>
        <w:ind w:firstLine="480"/>
        <w:jc w:val="both"/>
      </w:pPr>
      <w:r>
        <w:rPr>
          <w:rFonts w:ascii="Times New Roman" w:eastAsia="宋体" w:hAnsi="Times New Roman"/>
          <w:b w:val="0"/>
          <w:bCs w:val="0"/>
          <w:color w:val="000000"/>
          <w:sz w:val="24"/>
          <w:szCs w:val="24"/>
        </w:rPr>
        <w:t>在价格定位上，此次鸿蒙智选合作款“Pro H-DESIGN”的官方发布售价约为一万九千九百九十九元，价格区间落在一两万元左右，但相较于行业内部分高端智能床动辄数万元乃至十余万元的售价，仍属于兼顾科技体验与性价比的中端偏上区间，这也从侧面印证了慕思在“不卷价格、只卷价值”理念下，试图以相对亲民的价格将鸿蒙智能生态体验带给更广泛消费群体的产品策略。企业方还介绍，这一鸿蒙合作系列凭借华为品牌与鸿蒙生态的号召力，吸引了不少原本忠实于华为、鸿蒙生态的消费群体，购买群体的年龄结构也呈现出年轻化的趋势：以往购买智能床产品的顾客多集中在三十五岁左右，而此次鸿蒙合作系列则出现了二十五岁左右的年轻客群，购买人群整体呈现出向年轻化拓展的态势。据企业方介绍，该鸿蒙合作系列在慕思智能床整体销量中所占比重表现良好，成为拉动智能床品类增长的重要力量。</w:t>
      </w:r>
    </w:p>
    <w:p>
      <w:pPr>
        <w:spacing w:before="0" w:after="120" w:line="360" w:lineRule="auto"/>
        <w:ind w:firstLine="480"/>
        <w:jc w:val="both"/>
      </w:pPr>
      <w:r>
        <w:rPr>
          <w:rFonts w:ascii="Times New Roman" w:eastAsia="宋体" w:hAnsi="Times New Roman"/>
          <w:b w:val="0"/>
          <w:bCs w:val="0"/>
          <w:color w:val="000000"/>
          <w:sz w:val="24"/>
          <w:szCs w:val="24"/>
        </w:rPr>
        <w:t>然而值得深思的是，慕思方面也坦言，尽管鸿蒙合作系列在国内市场表现亮眼，但慕思智能床产品整体的海外出口情况并不理想，鸿蒙生态目前的良好表现主要局限于国内市场，在海外市场的认知度与接受度仍十分有限。这一现象并非慕思智能床一款产品所独有，而是当前诸多鸿蒙相关产品共同面临的现实课题：鸿蒙操作系统及其生态产品在国内已形成较为成熟的应用场景与用户基础，但要真正走向世界、为海外用户所认识和使用，仍需跨越技术标准互认、品牌认知建立、本地化服务体系构建等多重障碍。这也促使实践队成员进一步思考：未来鸿蒙生态及相关合作产品应如何在保持国内优势的同时，逐步探索适应海外市场的产品形态与传播路径，让更多海外用户能够循序渐进地认识鸿蒙、了解鸿蒙、进而选择鸿蒙，这既是慕思这样的合作企业需要面对的课题，也是整个鸿蒙生态在“出海”进程中必须回答的时代命题。</w:t>
      </w:r>
    </w:p>
    <w:p>
      <w:pPr>
        <w:spacing w:before="240" w:after="160"/>
        <w:jc w:val="left"/>
      </w:pPr>
      <w:r>
        <w:rPr>
          <w:rFonts w:ascii="Times New Roman" w:eastAsia="宋体" w:hAnsi="Times New Roman"/>
          <w:b/>
          <w:bCs/>
          <w:color w:val="000000"/>
          <w:sz w:val="28"/>
          <w:szCs w:val="28"/>
        </w:rPr>
        <w:t>四、小结</w:t>
      </w:r>
    </w:p>
    <w:p>
      <w:pPr>
        <w:spacing w:before="0" w:after="120" w:line="360" w:lineRule="auto"/>
        <w:ind w:firstLine="480"/>
        <w:jc w:val="both"/>
      </w:pPr>
      <w:r>
        <w:rPr>
          <w:rFonts w:ascii="Times New Roman" w:eastAsia="宋体" w:hAnsi="Times New Roman"/>
          <w:b w:val="0"/>
          <w:bCs w:val="0"/>
          <w:color w:val="000000"/>
          <w:sz w:val="24"/>
          <w:szCs w:val="24"/>
        </w:rPr>
        <w:t>综观本日行程，从东莞展览馆里镌刻着鸿蒙首发记忆的文化展厅，到广东开源鸿蒙适配中心“一中心三基地”因地制宜的产业布局，再到慕斯集团智能床产品背后国内外市场表现的鲜明反差，</w:t>
      </w:r>
      <w:bookmarkStart w:id="0" w:name="_GoBack"/>
      <w:bookmarkEnd w:id="0"/>
      <w:r>
        <w:rPr>
          <w:rFonts w:ascii="Times New Roman" w:eastAsia="宋体" w:hAnsi="Times New Roman"/>
          <w:b w:val="0"/>
          <w:bCs w:val="0"/>
          <w:color w:val="000000"/>
          <w:sz w:val="24"/>
          <w:szCs w:val="24"/>
        </w:rPr>
        <w:t>成员们得以从城市文化、产业协同与企业实践三个不同层面，较为立体地理解了开源鸿蒙生态从技术策源、区域落地到终端商业化的完整链条，也更加清晰地意识到，国产操作系统生态的持续壮大，既需要国内场景的深耕细作，也离不开对海外市场破局之道的持续探索与思考。</w:t>
      </w:r>
    </w:p>
    <w:sectPr>
      <w:pgSz w:w="11906" w:h="16838"/>
      <w:pgMar w:top="1440" w:right="1800" w:bottom="1440" w:left="180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81"/>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4</Pages>
  <Words>3130</Words>
  <Characters>3155</Characters>
  <Lines>98</Lines>
  <Paragraphs>14</Paragraphs>
  <CharactersWithSpaces>3159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手机用户</cp:lastModifiedBy>
  <cp:revision>0</cp:revision>
  <dcterms:modified xsi:type="dcterms:W3CDTF">2026-07-29T14:35:22Z</dcterms:modified>
</cp:coreProperties>
</file>