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sz w:val="22"/>
          <w:szCs w:val="22"/>
        </w:rPr>
        <w:t xml:space="preserve"/>
      </w:r>
    </w:p>
    <w:p>
      <w:pPr>
        <w:spacing w:before="0" w:after="160"/>
      </w:pPr>
      <w:r>
        <w:rPr>
          <w:sz w:val="22"/>
          <w:szCs w:val="22"/>
        </w:rPr>
        <w:t xml:space="preserve"/>
      </w:r>
    </w:p>
    <w:p>
      <w:pPr>
        <w:spacing w:before="0" w:after="160"/>
      </w:pPr>
      <w:r>
        <w:rPr>
          <w:sz w:val="22"/>
          <w:szCs w:val="22"/>
        </w:rPr>
        <w:t xml:space="preserve"/>
      </w:r>
    </w:p>
    <w:p>
      <w:pPr>
        <w:spacing w:after="120"/>
        <w:jc w:val="center"/>
      </w:pPr>
      <w:r>
        <w:rPr>
          <w:rFonts w:ascii="Arial" w:cs="Arial" w:eastAsia="Arial" w:hAnsi="Arial"/>
          <w:b/>
          <w:bCs/>
          <w:color w:val="1A3A5C"/>
          <w:sz w:val="72"/>
          <w:szCs w:val="72"/>
        </w:rPr>
        <w:t xml:space="preserve">NOTACHAIN</w:t>
      </w:r>
    </w:p>
    <w:p>
      <w:pPr>
        <w:spacing w:after="120"/>
        <w:jc w:val="center"/>
      </w:pPr>
      <w:r>
        <w:rPr>
          <w:rFonts w:ascii="Arial" w:cs="Arial" w:eastAsia="Arial" w:hAnsi="Arial"/>
          <w:color w:val="2E75B6"/>
          <w:sz w:val="32"/>
          <w:szCs w:val="32"/>
        </w:rPr>
        <w:t xml:space="preserve">Jurisdiction &amp; Licensing Body Registry</w:t>
      </w:r>
    </w:p>
    <w:p>
      <w:pPr>
        <w:spacing w:after="480"/>
        <w:jc w:val="center"/>
      </w:pPr>
      <w:r>
        <w:rPr>
          <w:rFonts w:ascii="Arial" w:cs="Arial" w:eastAsia="Arial" w:hAnsi="Arial"/>
          <w:i/>
          <w:iCs/>
          <w:color w:val="888888"/>
          <w:sz w:val="22"/>
          <w:szCs w:val="22"/>
        </w:rPr>
        <w:t xml:space="preserve">Companion Document to the Notachain Protocol Whitepaper</w:t>
      </w:r>
    </w:p>
    <w:p>
      <w:pPr>
        <w:spacing w:after="1440"/>
        <w:jc w:val="center"/>
      </w:pPr>
      <w:r>
        <w:rPr>
          <w:rFonts w:ascii="Arial" w:cs="Arial" w:eastAsia="Arial" w:hAnsi="Arial"/>
          <w:i/>
          <w:iCs/>
          <w:color w:val="888888"/>
          <w:sz w:val="20"/>
          <w:szCs w:val="20"/>
        </w:rPr>
        <w:t xml:space="preserve">Working Paper v0.1  —  Draft for Discussion</w:t>
      </w:r>
    </w:p>
    <w:p>
      <w:pPr>
        <w:pBdr>
          <w:bottom w:val="single" w:color="CCCCCC" w:sz="2" w:space="1"/>
        </w:pBdr>
        <w:spacing w:before="160" w:after="160"/>
      </w:pPr>
      <w:r>
        <w:t xml:space="preserve"/>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Introduction</w:t>
      </w:r>
    </w:p>
    <w:p>
      <w:pPr>
        <w:spacing w:before="80" w:after="160"/>
        <w:jc w:val="both"/>
      </w:pPr>
      <w:r>
        <w:rPr>
          <w:rFonts w:ascii="Arial" w:cs="Arial" w:eastAsia="Arial" w:hAnsi="Arial"/>
          <w:sz w:val="22"/>
          <w:szCs w:val="22"/>
        </w:rPr>
        <w:t xml:space="preserve">This document catalogues the licensing and governing bodies for notarial professionals across jurisdictions worldwide, for the purpose of establishing the Tier 1 registry of authorised licensing bodies under the Notachain Protocol.</w:t>
      </w:r>
    </w:p>
    <w:p>
      <w:pPr>
        <w:spacing w:before="80" w:after="160"/>
        <w:jc w:val="both"/>
      </w:pPr>
      <w:r>
        <w:rPr>
          <w:rFonts w:ascii="Arial" w:cs="Arial" w:eastAsia="Arial" w:hAnsi="Arial"/>
          <w:sz w:val="22"/>
          <w:szCs w:val="22"/>
        </w:rPr>
        <w:t xml:space="preserve">The Notachain Protocol requires that any notary registering a keypair on the on-chain registry be a licensed professional in good standing under a recognised licensing body. This document defines the initial set of recognised bodies by jurisdiction.</w:t>
      </w:r>
    </w:p>
    <w:p>
      <w:pPr>
        <w:spacing w:before="80" w:after="160"/>
        <w:jc w:val="both"/>
      </w:pPr>
      <w:r>
        <w:rPr>
          <w:rFonts w:ascii="Arial" w:cs="Arial" w:eastAsia="Arial" w:hAnsi="Arial"/>
          <w:sz w:val="22"/>
          <w:szCs w:val="22"/>
        </w:rPr>
        <w:t xml:space="preserve">Two primary legal traditions govern notarial practice globally:</w:t>
      </w:r>
    </w:p>
    <w:p>
      <w:pPr>
        <w:pStyle w:val="ListParagraph"/>
        <w:numPr>
          <w:ilvl w:val="0"/>
          <w:numId w:val="2"/>
        </w:numPr>
        <w:spacing w:before="60" w:after="60"/>
      </w:pPr>
      <w:r>
        <w:rPr>
          <w:rFonts w:ascii="Arial" w:cs="Arial" w:eastAsia="Arial" w:hAnsi="Arial"/>
          <w:sz w:val="22"/>
          <w:szCs w:val="22"/>
        </w:rPr>
        <w:t xml:space="preserve">Civil Law Notaries (Latin Notariat): highly credentialed, government-appointed legal officers with quasi-judicial status. Their authenticated instruments carry prima facie evidentiary weight in court. Found across continental Europe, Latin America, East Asia, and much of Africa. Coordinated internationally by the International Union of Notaries (UINL), founded 1948, currently comprising 92 member notariats representing approximately 70% of the global population.</w:t>
      </w:r>
    </w:p>
    <w:p>
      <w:pPr>
        <w:pStyle w:val="ListParagraph"/>
        <w:numPr>
          <w:ilvl w:val="0"/>
          <w:numId w:val="2"/>
        </w:numPr>
        <w:spacing w:before="60" w:after="60"/>
      </w:pPr>
      <w:r>
        <w:rPr>
          <w:rFonts w:ascii="Arial" w:cs="Arial" w:eastAsia="Arial" w:hAnsi="Arial"/>
          <w:sz w:val="22"/>
          <w:szCs w:val="22"/>
        </w:rPr>
        <w:t xml:space="preserve">Common Law Notaries: more limited administrative role, primarily identity verification and signature witnessing. Found in Australia, the UK, Canada (outside Quebec), and most US states. Generally commissioned by state/territory or national authority. An important exception: England &amp; Wales notaries are senior legal practitioners with significant authority for international documents.</w:t>
      </w:r>
    </w:p>
    <w:p>
      <w:pPr>
        <w:spacing w:before="0" w:after="160"/>
      </w:pPr>
      <w:r>
        <w:rPr>
          <w:sz w:val="22"/>
          <w:szCs w:val="22"/>
        </w:rPr>
        <w:t xml:space="preserve"/>
      </w:r>
    </w:p>
    <w:p>
      <w:pPr>
        <w:spacing w:before="60" w:after="120"/>
        <w:jc w:val="both"/>
      </w:pPr>
      <w:r>
        <w:rPr>
          <w:rFonts w:ascii="Arial" w:cs="Arial" w:eastAsia="Arial" w:hAnsi="Arial"/>
          <w:i/>
          <w:iCs/>
          <w:color w:val="555555"/>
          <w:sz w:val="20"/>
          <w:szCs w:val="20"/>
        </w:rPr>
        <w:t xml:space="preserve">Note on trust weighting: Civil law notaries carry stronger legal accountability in their jurisdictions due to quasi-judicial status and the evidentiary weight of notarial instruments. The Notachain Protocol may implement tiered trust weighting reflecting this distinction. This is an open design question noted in the main whitepaper.</w:t>
      </w:r>
    </w:p>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Part 1: Civil Law Jurisdictions (UINL Members)</w:t>
      </w:r>
    </w:p>
    <w:p>
      <w:pPr>
        <w:spacing w:before="80" w:after="160"/>
        <w:jc w:val="both"/>
      </w:pPr>
      <w:r>
        <w:rPr>
          <w:rFonts w:ascii="Arial" w:cs="Arial" w:eastAsia="Arial" w:hAnsi="Arial"/>
          <w:sz w:val="22"/>
          <w:szCs w:val="22"/>
        </w:rPr>
        <w:t xml:space="preserve">The International Union of Notaries (UINL) serves as the international umbrella body for civil law notariats. Member notariats are recognised as Tier 1 licensing bodies under the Notachain Protocol by virtue of UINL membership, subject to the notary being in active good standing under their national notariat.</w:t>
      </w:r>
    </w:p>
    <w:p>
      <w:pPr>
        <w:spacing w:before="60" w:after="120"/>
        <w:jc w:val="both"/>
      </w:pPr>
      <w:r>
        <w:rPr>
          <w:rFonts w:ascii="Arial" w:cs="Arial" w:eastAsia="Arial" w:hAnsi="Arial"/>
          <w:i/>
          <w:iCs/>
          <w:color w:val="555555"/>
          <w:sz w:val="20"/>
          <w:szCs w:val="20"/>
        </w:rPr>
        <w:t xml:space="preserve">The UINL itself (uinl.org) is designated as a Meta-Tier 1 body: any national notariat that is a current UINL member is automatically eligible for Tier 1 listing on the Notachain registry.</w:t>
      </w:r>
    </w:p>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Austria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Österreichische Notariatskammer (Austrian Chamber of Notaries)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Notaries are government-appointed lawyers.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Belgium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Fédération Royale du Notariat Belge / Koninklijke Federatie van het Belgisch Notariaat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UINL founding member (1948).</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Bulgaria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Notary Chamber of Bulgaria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Post-Soviet transition to Latin notariat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Croatia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Croatian Chamber of Notaries (Hrvatska javnobilježnicka komora)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Czech Republic</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Notarial Chamber of the Czech Republic (Notárská komora České republiky)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Estonia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Estonian Chamber of Notaries (Notarite Koda)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France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Conseil Supérieur du Notariat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 Notaires hold quasi-judicial status; notarial acts are enforceable without court proceedings.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Germany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Bundesnotarkammer (Federal Chamber of Notaries)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Among the most credentialed notarial systems globally.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Greece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Central Union of Greek Notaries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Hungary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Hungarian Chamber of Notaries (Magyar Országos Közjegyői Kamara)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Italy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Consiglio Nazionale del Notariato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 Italian notariat historically one of the oldest and most influential.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Latvia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Latvian Council of Sworn Notaries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Lithuania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Chamber of Notaries of Lithuania (Lietuvos notarų rūmai)</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Luxembourg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Notariat du Grand-Duché de Luxembourg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Netherlands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Koninklijke Notariële Beroepsorganisatie (Royal Dutch Notarial Professional Organisation)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Poland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Council of Notaries (Krajowa Rada Notarialna)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Portugal</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Ordem dos Notários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Romania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Union of Romanian Notaries 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Slovakia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Notarial Chamber of Slovakia (Notárska komora Slovenskej republiky)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Slovenia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Chamber of Notaries of Slovenia (Notarska zbornica Slovenije)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Spain</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Consejo General del Notariado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Switzerland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 cantonal notarial chambers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UINL founding member. Regulation is cantonal; each canton has its own notarial chamber.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Belarus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Republican Notary Chamber of Belarus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Joined UINL 2019.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Russia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Federal Notary Chamber of Russia (Федеральная нотариальная палата)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Ukraine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Ukrainian Notary Chamber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of London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Faculty Office of the Archbishop of Canterbury (for scrivener notaries)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law variant with UINL membership. Scrivener notaries hold significant international document authority.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Quebec (Canada)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des notaires du Québec</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(Quebec uses civil law for non-criminal matters). UINL member. Notaires are full lawyers.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Puerto Rico (USA)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Puerto Rico Notarial Association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Only US jurisdiction that is a UINL member.</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Latin America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Argentina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Consejo Federal del Notariado Argentino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 Notaries handle property, wills, corporate 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Bolivia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Colegio de Notarios de Bolivia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Brazil</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Colégio Notarial do Brasil — Conselho Federal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Colegio de Notarios de Chile / Asociación de Notarios de Chile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Colombia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Unión Colegiada del Notariado Colombiano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Costa Rica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Colegio de Notarios de Costa Rica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Cuba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Unión Nacional de Juristas de Cuba (notarial section)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Dominican Republic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Colegio Dominicano de Notarios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Ecuador</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Asociación de Notarios del Ecuador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Salvador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Sección del Notariado, Corte Suprema de Justicia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Guatemala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Colegio de Abogados y Notarios de Guatemala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Honduras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Colegio de Abogados de Honduras (notarial section)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Mexico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Asociación Nacional del Notariado Mexicano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 Notarios are government-appointed lawyers with significant 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Nicaragua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Colegio de Abogados y Notarios de Nicaragua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Panama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Ministerio de Gobierno — Dirección Nacional de Notariado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Paraguay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Unión de Notarios del Paraguay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Peru</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Junta de Decanos de los Colegios de Notarios del Perú</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Uruguay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Asociación de Escribanos del Uruguay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UINL founding member.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Venezuela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Colegio de Notarios Públicos de Venezuela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Asia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China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China Notary Association (中国公证协会)</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model. Notaries are state employees or state-appointed.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 Notaries Association (日本公証人連合会)</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model. Notaries are former judges or prosecutors appointed for life.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South Korea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Korean Notaries Association (대한공증인협회)</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Indonesia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Indonesian Notary Association (Ikatan Notaris Indonesia)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(Dutch-influenced). UINL member.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Vietnam</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Vietnam Notary Association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Mongolia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Mongolian Notary Association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model.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Cambodia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Ministry of Justice — Notariat Department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model (French-influenced).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Lebanon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Lebanese Notary Order (Ordre des Notaires du Liban)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 Joined UINL 2018.</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Morocco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Conseil National du Notariat du Maroc</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(French-influenced). UINL member.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Tunisia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Chambre Nationale des Notaires de Tunisie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 UINL member.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Algeria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Nationale des Notaires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(French-influenced). UINL member.</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Democratic Republic of Congo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des Notaires du Congo</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(Belgian-influenced).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Cameroon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Chambre des Notaires du Cameroun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Senegal</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des Notaires du Sénégal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Ivory Coast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Chambre des Notaires de Côte d'Ivoire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Madagascar</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des Notaires de Madagascar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Gabon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Chambre des Notaires du Gabon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Mali</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des Notaires du Mali</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Burkina Faso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Chambre des Notaires du Burkina Faso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Benin</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des Notaires du Bénin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Chambre des Notaires du Togo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Guinea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Chambre des Notaires de Guinée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Civil law (French-influenced).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Chambre des Notaires du Tchad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(French-influenced).</w:t>
            </w:r>
          </w:p>
        </w:tc>
      </w:tr>
    </w:tbl>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Part 2: Common Law Jurisdictions</w:t>
      </w:r>
    </w:p>
    <w:p>
      <w:pPr>
        <w:spacing w:before="80" w:after="160"/>
        <w:jc w:val="both"/>
      </w:pPr>
      <w:r>
        <w:rPr>
          <w:rFonts w:ascii="Arial" w:cs="Arial" w:eastAsia="Arial" w:hAnsi="Arial"/>
          <w:sz w:val="22"/>
          <w:szCs w:val="22"/>
        </w:rPr>
        <w:t xml:space="preserve">Common law notaries have a more limited administrative role than their civil law counterparts. However, they remain valid participants in the Notachain registry under a common law tier, with appropriate trust weighting reflecting their jurisdictional authority.</w:t>
      </w:r>
    </w:p>
    <w:p>
      <w:pPr>
        <w:spacing w:before="60" w:after="120"/>
        <w:jc w:val="both"/>
      </w:pPr>
      <w:r>
        <w:rPr>
          <w:rFonts w:ascii="Arial" w:cs="Arial" w:eastAsia="Arial" w:hAnsi="Arial"/>
          <w:i/>
          <w:iCs/>
          <w:color w:val="555555"/>
          <w:sz w:val="20"/>
          <w:szCs w:val="20"/>
        </w:rPr>
        <w:t xml:space="preserve">Design note: The Notachain Protocol may implement differentiated attestation weight for civil law vs. common law notaries. High-value insurance policies may require civil law notary attestations or multiple common law attestations. This is an open parameter.</w:t>
      </w:r>
    </w:p>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Australia &amp; New Zealand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New South Wales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Society of Notaries of New South Wales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Commissioned by the NSW Supreme Court. Notaries are senior solicitors. Approximately 200-300 practicing notaries statewide.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Victoria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Society of Notaries of Victoria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Commissioned by the Supreme Court of Victoria.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Queensland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Society of Notaries Queensland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Commissioned by the Supreme Court of Queensland.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Western Australia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Society of Notaries of Western Australia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Commissioned by the Supreme Court of WA.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South Australia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Society of Notaries of South Australia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Commissioned by the Supreme Court of 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Tasmania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Society of Notaries of Tasmania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Commissioned by the Supreme Court of Tasmania.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ACT Law Society (notarial section)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Commissioned by the ACT Supreme Court.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Northern Territory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Society NT (notarial section)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Commissioned by the NT Supreme Court.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New Zealand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New Zealand Society of Notaries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Appointed by the Governor-General on recommendation of the Attorney-General.</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United Kingdom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England &amp; Wales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Faculty Office of the Archbishop of Canterbury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General notaries and scrivener notaries. All notaries are commissioned by the Faculty Office. In practice, almost all are also solicitors. England &amp; Wales notaries hold significant authority for international documents — closer to civil law notaries in international contexts than typical common law notaries.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Scotland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Faculty of Notaries Public in Scotland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Notaries in Scotland are solicitors with additional notarial commission. Regulated by the Law Society of Scotland.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Northern Ireland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Incorporated Society of Notaries of Northern Ireland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Regulated by the Faculty Office (as with England &amp; Wales).</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Canada (Common Law Provinces)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British Columbia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Society of Notaries Public of British Columbia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BC notaries are a distinct profession from lawyers; they handle real estate conveyancing and wills. BC is unique in Canada for having a strong independent notarial profession outside the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Alberta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 Society of Alberta (notarial section)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Notarial acts performed by lawyers commissioned as commissioners for oaths.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Ontario</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Law Society of Ontario (notarial section)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Notarial acts performed by lawyers.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provinces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Respective provincial law societies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Notarial functions generally performed by lawyers commissioned by provincial authorities.</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United States</w:t>
      </w:r>
    </w:p>
    <w:p>
      <w:pPr>
        <w:spacing w:before="80" w:after="160"/>
        <w:jc w:val="both"/>
      </w:pPr>
      <w:r>
        <w:rPr>
          <w:rFonts w:ascii="Arial" w:cs="Arial" w:eastAsia="Arial" w:hAnsi="Arial"/>
          <w:sz w:val="22"/>
          <w:szCs w:val="22"/>
        </w:rPr>
        <w:t xml:space="preserve">The United States has approximately 4.5 million commissioned notaries — the largest number in any country — but they are administrative officials with very limited authority compared to civil law notaries. Commissioning is by individual state. There is no national licensing body.</w:t>
      </w:r>
    </w:p>
    <w:p>
      <w:pPr>
        <w:spacing w:before="60" w:after="120"/>
        <w:jc w:val="both"/>
      </w:pPr>
      <w:r>
        <w:rPr>
          <w:rFonts w:ascii="Arial" w:cs="Arial" w:eastAsia="Arial" w:hAnsi="Arial"/>
          <w:i/>
          <w:iCs/>
          <w:color w:val="555555"/>
          <w:sz w:val="20"/>
          <w:szCs w:val="20"/>
        </w:rPr>
        <w:t xml:space="preserve">US notaries are not lawyers and cannot provide legal advice. Their attestations under the Notachain Protocol would carry lower trust weighting than civil law or common law lawyer-notaries. The Protocol may require US notaries to be additionally credentialed (e.g., National Notary Association certification) for registry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 50 states + DC</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Respective Secretary of State (most states)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Notaries commissioned by state authority, typically 4-year terms. No law degree required in most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Louisiana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Louisiana Secretary of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Louisiana uses civil law (Napoleonic Code). Louisiana notaries have expanded powers closer to civil law notaries.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Florida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Florida Department of State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Florida has a civil law notary statute (F.S. §118.10) enabling expanded notarial 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Puerto Rico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Puerto Rico Department of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law jurisdiction. UINL member. Highest authority US notarial credential.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National Notary Association (NNA)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National Notary Association (professional body)</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 a licensing body, but the leading professional certification organisation for US notaries. NNA certification is a relevant credential marker for Notachain registry weighting purposes.</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India (national)</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Ministry of Law and Justice, Government of India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Notaries appointed under the Notaries Act 1952. Both central government and state government notaries exist. Indian notaries have an expansive role including mediating certain disputes and recording court evidence.</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Singapore &amp; Hong Kong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Singapore</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Singapore Academy of Law (notarial section)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Notaries public are advocates and solicitors appointed by the President of Singapore on recommendation of the Chief Justice.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Hong Kong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Hong Kong Society of Notaries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law jurisdiction. Notaries appointed by Faculty Office (as England &amp; Wales). Strong international document authority.</w:t>
            </w:r>
          </w:p>
        </w:tc>
      </w:tr>
    </w:tbl>
    <w:p>
      <w:pPr>
        <w:spacing w:before="0" w:after="160"/>
      </w:pPr>
      <w:r>
        <w:rPr>
          <w:sz w:val="22"/>
          <w:szCs w:val="22"/>
        </w:rPr>
        <w:t xml:space="preserve"/>
      </w:r>
    </w:p>
    <w:p>
      <w:pPr>
        <w:pStyle w:val="Heading1"/>
        <w:pBdr>
          <w:bottom w:val="single" w:color="2E75B6" w:sz="6" w:space="4"/>
        </w:pBdr>
        <w:spacing w:before="480" w:after="200"/>
      </w:pPr>
      <w:r>
        <w:rPr>
          <w:rFonts w:ascii="Arial" w:cs="Arial" w:eastAsia="Arial" w:hAnsi="Arial"/>
          <w:b/>
          <w:bCs/>
          <w:color w:val="1A3A5C"/>
          <w:sz w:val="36"/>
          <w:szCs w:val="36"/>
        </w:rPr>
        <w:t xml:space="preserve">Part 3: Protocol Implementation Notes</w:t>
      </w:r>
    </w:p>
    <w:p>
      <w:pPr>
        <w:pStyle w:val="Heading2"/>
        <w:spacing w:before="320" w:after="160"/>
      </w:pPr>
      <w:r>
        <w:rPr>
          <w:rFonts w:ascii="Arial" w:cs="Arial" w:eastAsia="Arial" w:hAnsi="Arial"/>
          <w:b/>
          <w:bCs/>
          <w:color w:val="2E75B6"/>
          <w:sz w:val="28"/>
          <w:szCs w:val="28"/>
        </w:rPr>
        <w:t xml:space="preserve">3.1 Tier 1 Registry Initialisation</w:t>
      </w:r>
    </w:p>
    <w:p>
      <w:pPr>
        <w:spacing w:before="80" w:after="160"/>
        <w:jc w:val="both"/>
      </w:pPr>
      <w:r>
        <w:rPr>
          <w:rFonts w:ascii="Arial" w:cs="Arial" w:eastAsia="Arial" w:hAnsi="Arial"/>
          <w:sz w:val="22"/>
          <w:szCs w:val="22"/>
        </w:rPr>
        <w:t xml:space="preserve">At protocol launch, the Notachain Tier 1 registry will be seeded with the following licensing body categories:</w:t>
      </w:r>
    </w:p>
    <w:p>
      <w:pPr>
        <w:pStyle w:val="ListParagraph"/>
        <w:numPr>
          <w:ilvl w:val="0"/>
          <w:numId w:val="2"/>
        </w:numPr>
        <w:spacing w:before="60" w:after="60"/>
      </w:pPr>
      <w:r>
        <w:rPr>
          <w:rFonts w:ascii="Arial" w:cs="Arial" w:eastAsia="Arial" w:hAnsi="Arial"/>
          <w:sz w:val="22"/>
          <w:szCs w:val="22"/>
        </w:rPr>
        <w:t xml:space="preserve">All current UINL member notariats (92 jurisdictions) — automatically eligible as Tier 1 bodies.</w:t>
      </w:r>
    </w:p>
    <w:p>
      <w:pPr>
        <w:pStyle w:val="ListParagraph"/>
        <w:numPr>
          <w:ilvl w:val="0"/>
          <w:numId w:val="2"/>
        </w:numPr>
        <w:spacing w:before="60" w:after="60"/>
      </w:pPr>
      <w:r>
        <w:rPr>
          <w:rFonts w:ascii="Arial" w:cs="Arial" w:eastAsia="Arial" w:hAnsi="Arial"/>
          <w:sz w:val="22"/>
          <w:szCs w:val="22"/>
        </w:rPr>
        <w:t xml:space="preserve">Common law notarial bodies listed in Part 2 of this document, subject to individual review.</w:t>
      </w:r>
    </w:p>
    <w:p>
      <w:pPr>
        <w:pStyle w:val="ListParagraph"/>
        <w:numPr>
          <w:ilvl w:val="0"/>
          <w:numId w:val="2"/>
        </w:numPr>
        <w:spacing w:before="60" w:after="60"/>
      </w:pPr>
      <w:r>
        <w:rPr>
          <w:rFonts w:ascii="Arial" w:cs="Arial" w:eastAsia="Arial" w:hAnsi="Arial"/>
          <w:sz w:val="22"/>
          <w:szCs w:val="22"/>
        </w:rPr>
        <w:t xml:space="preserve">Additional bodies may be proposed by community governance process post-launch.</w:t>
      </w:r>
    </w:p>
    <w:p>
      <w:pPr>
        <w:pStyle w:val="Heading2"/>
        <w:spacing w:before="320" w:after="160"/>
      </w:pPr>
      <w:r>
        <w:rPr>
          <w:rFonts w:ascii="Arial" w:cs="Arial" w:eastAsia="Arial" w:hAnsi="Arial"/>
          <w:b/>
          <w:bCs/>
          <w:color w:val="2E75B6"/>
          <w:sz w:val="28"/>
          <w:szCs w:val="28"/>
        </w:rPr>
        <w:t xml:space="preserve">3.2 Proposed Trust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Licensing / Governing Body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Type &amp; Notes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Tier A</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UINL civil law notaries (full members)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Highest trust weight. Quasi-judicial status. Notarial instruments prima facie evidence in court. Suitable for high-value insurance underwriting.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law lawyer-notaries (Aus, UK, NZ, Singapore, HK, Quebec)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trust weight. Senior legal practitioners with professional liability. Suitable for standard insurance underwriting.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Tier C</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Common law non-lawyer notaries (most US states, general AU commissioners)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Moderate trust weight. Administrative officials. May require multiple attestations for insurance underwriting above threshold values.</w:t>
            </w:r>
          </w:p>
        </w:tc>
      </w:tr>
    </w:tbl>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3.3 Key Rotation Authority</w:t>
      </w:r>
    </w:p>
    <w:p>
      <w:pPr>
        <w:spacing w:before="80" w:after="160"/>
        <w:jc w:val="both"/>
      </w:pPr>
      <w:r>
        <w:rPr>
          <w:rFonts w:ascii="Arial" w:cs="Arial" w:eastAsia="Arial" w:hAnsi="Arial"/>
          <w:sz w:val="22"/>
          <w:szCs w:val="22"/>
        </w:rPr>
        <w:t xml:space="preserve">In the event a registered notary loses access to their signing keypair, key rotation requires a countersigned rotation request from their Tier 1 licensing body, submitted via in-person statutory declaration. The licensing body must themselves be registered on the Tier 1 registry to countersign a rotation.</w:t>
      </w:r>
    </w:p>
    <w:p>
      <w:pPr>
        <w:spacing w:before="80" w:after="160"/>
        <w:jc w:val="both"/>
      </w:pPr>
      <w:r>
        <w:rPr>
          <w:rFonts w:ascii="Arial" w:cs="Arial" w:eastAsia="Arial" w:hAnsi="Arial"/>
          <w:sz w:val="22"/>
          <w:szCs w:val="22"/>
        </w:rPr>
        <w:t xml:space="preserve">The on-chain rotation record will store: old key (marked revoked), new key, licensing body countersigning address, rotation timestamp, and a hash of the statutory declaration reference number.</w:t>
      </w:r>
    </w:p>
    <w:p>
      <w:pPr>
        <w:spacing w:before="0" w:after="160"/>
      </w:pPr>
      <w:r>
        <w:rPr>
          <w:sz w:val="22"/>
          <w:szCs w:val="22"/>
        </w:rPr>
        <w:t xml:space="preserve"/>
      </w:r>
    </w:p>
    <w:p>
      <w:pPr>
        <w:pStyle w:val="Heading2"/>
        <w:spacing w:before="320" w:after="160"/>
      </w:pPr>
      <w:r>
        <w:rPr>
          <w:rFonts w:ascii="Arial" w:cs="Arial" w:eastAsia="Arial" w:hAnsi="Arial"/>
          <w:b/>
          <w:bCs/>
          <w:color w:val="2E75B6"/>
          <w:sz w:val="28"/>
          <w:szCs w:val="28"/>
        </w:rPr>
        <w:t xml:space="preserve">3.4 Ongoing Maintenance</w:t>
      </w:r>
    </w:p>
    <w:p>
      <w:pPr>
        <w:spacing w:before="80" w:after="160"/>
        <w:jc w:val="both"/>
      </w:pPr>
      <w:r>
        <w:rPr>
          <w:rFonts w:ascii="Arial" w:cs="Arial" w:eastAsia="Arial" w:hAnsi="Arial"/>
          <w:sz w:val="22"/>
          <w:szCs w:val="22"/>
        </w:rPr>
        <w:t xml:space="preserve">This document is a living reference. The Notachain Protocol company is responsible for:</w:t>
      </w:r>
    </w:p>
    <w:p>
      <w:pPr>
        <w:pStyle w:val="ListParagraph"/>
        <w:numPr>
          <w:ilvl w:val="0"/>
          <w:numId w:val="2"/>
        </w:numPr>
        <w:spacing w:before="60" w:after="60"/>
      </w:pPr>
      <w:r>
        <w:rPr>
          <w:rFonts w:ascii="Arial" w:cs="Arial" w:eastAsia="Arial" w:hAnsi="Arial"/>
          <w:sz w:val="22"/>
          <w:szCs w:val="22"/>
        </w:rPr>
        <w:t xml:space="preserve">Monitoring UINL membership changes (new members, suspensions, withdrawals)</w:t>
      </w:r>
    </w:p>
    <w:p>
      <w:pPr>
        <w:pStyle w:val="ListParagraph"/>
        <w:numPr>
          <w:ilvl w:val="0"/>
          <w:numId w:val="2"/>
        </w:numPr>
        <w:spacing w:before="60" w:after="60"/>
      </w:pPr>
      <w:r>
        <w:rPr>
          <w:rFonts w:ascii="Arial" w:cs="Arial" w:eastAsia="Arial" w:hAnsi="Arial"/>
          <w:sz w:val="22"/>
          <w:szCs w:val="22"/>
        </w:rPr>
        <w:t xml:space="preserve">Updating Tier 1 registry on-chain to reflect licensing body changes</w:t>
      </w:r>
    </w:p>
    <w:p>
      <w:pPr>
        <w:pStyle w:val="ListParagraph"/>
        <w:numPr>
          <w:ilvl w:val="0"/>
          <w:numId w:val="2"/>
        </w:numPr>
        <w:spacing w:before="60" w:after="60"/>
      </w:pPr>
      <w:r>
        <w:rPr>
          <w:rFonts w:ascii="Arial" w:cs="Arial" w:eastAsia="Arial" w:hAnsi="Arial"/>
          <w:sz w:val="22"/>
          <w:szCs w:val="22"/>
        </w:rPr>
        <w:t xml:space="preserve">Publishing changelogs for all Tier 1 registry modifications</w:t>
      </w:r>
    </w:p>
    <w:p>
      <w:pPr>
        <w:pStyle w:val="ListParagraph"/>
        <w:numPr>
          <w:ilvl w:val="0"/>
          <w:numId w:val="2"/>
        </w:numPr>
        <w:spacing w:before="60" w:after="60"/>
      </w:pPr>
      <w:r>
        <w:rPr>
          <w:rFonts w:ascii="Arial" w:cs="Arial" w:eastAsia="Arial" w:hAnsi="Arial"/>
          <w:sz w:val="22"/>
          <w:szCs w:val="22"/>
        </w:rPr>
        <w:t xml:space="preserve">Processing community proposals for new Tier 1 body additions</w:t>
      </w:r>
    </w:p>
    <w:p>
      <w:pPr>
        <w:spacing w:before="0" w:after="160"/>
      </w:pPr>
      <w:r>
        <w:rPr>
          <w:sz w:val="22"/>
          <w:szCs w:val="22"/>
        </w:rPr>
        <w:t xml:space="preserve"/>
      </w:r>
    </w:p>
    <w:p>
      <w:pPr>
        <w:pBdr>
          <w:bottom w:val="single" w:color="CCCCCC" w:sz="2" w:space="1"/>
        </w:pBdr>
        <w:spacing w:before="160" w:after="160"/>
      </w:pPr>
      <w:r>
        <w:t xml:space="preserve"/>
      </w:r>
    </w:p>
    <w:p>
      <w:pPr>
        <w:spacing w:before="240" w:after="0"/>
        <w:jc w:val="center"/>
      </w:pPr>
      <w:r>
        <w:rPr>
          <w:rFonts w:ascii="Arial" w:cs="Arial" w:eastAsia="Arial" w:hAnsi="Arial"/>
          <w:i/>
          <w:iCs/>
          <w:color w:val="888888"/>
          <w:sz w:val="16"/>
          <w:szCs w:val="16"/>
        </w:rPr>
        <w:t xml:space="preserve">This document is a working draft for discussion purposes. Licensing body details require independent legal verification in each jurisdiction before production use. Nothing herein constitutes legal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0"/>
    </w:pPr>
    <w:r>
      <w:rPr>
        <w:rFonts w:ascii="Arial" w:cs="Arial" w:eastAsia="Arial" w:hAnsi="Arial"/>
        <w:color w:val="888888"/>
        <w:sz w:val="16"/>
        <w:szCs w:val="16"/>
      </w:rPr>
      <w:t xml:space="preserve">Working Draft — Not Legal Advice</w:t>
    </w:r>
    <w:r>
      <w:rPr>
        <w:sz w:val="16"/>
        <w:szCs w:val="16"/>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spacing w:after="0"/>
    </w:pPr>
    <w:r>
      <w:rPr>
        <w:rFonts w:ascii="Arial" w:cs="Arial" w:eastAsia="Arial" w:hAnsi="Arial"/>
        <w:b/>
        <w:bCs/>
        <w:color w:val="2E75B6"/>
        <w:sz w:val="18"/>
        <w:szCs w:val="18"/>
      </w:rPr>
      <w:t xml:space="preserve">NOTACHAIN — JURISDICTION &amp; LICENSING BODY REGISTRY</w:t>
    </w:r>
    <w:r>
      <w:rPr>
        <w:sz w:val="18"/>
        <w:szCs w:val="18"/>
      </w:rPr>
      <w:t xml:space="preserve">	</w:t>
    </w:r>
    <w:r>
      <w:rPr>
        <w:rFonts w:ascii="Arial" w:cs="Arial" w:eastAsia="Arial" w:hAnsi="Arial"/>
        <w:color w:val="888888"/>
        <w:sz w:val="18"/>
        <w:szCs w:val="18"/>
      </w:rPr>
      <w:t xml:space="preserve">Companion Document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2026-03-27T06:29:47.680Z</dcterms:created>
  <dcterms:modified xsi:type="dcterms:W3CDTF">2026-03-27T06:29:47.681Z</dcterms:modified>
</cp:coreProperties>
</file>

<file path=docProps/custom.xml><?xml version="1.0" encoding="utf-8"?>
<Properties xmlns="http://schemas.openxmlformats.org/officeDocument/2006/custom-properties" xmlns:vt="http://schemas.openxmlformats.org/officeDocument/2006/docPropsVTypes"/>
</file>