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rPr>
          <w:sz w:val="22"/>
          <w:szCs w:val="22"/>
        </w:rPr>
        <w:t xml:space="preserve"/>
      </w:r>
    </w:p>
    <w:p>
      <w:pPr>
        <w:spacing w:after="120"/>
        <w:jc w:val="center"/>
      </w:pPr>
      <w:r>
        <w:rPr>
          <w:rFonts w:ascii="Arial" w:cs="Arial" w:eastAsia="Arial" w:hAnsi="Arial"/>
          <w:b/>
          <w:bCs/>
          <w:color w:val="1A3A5C"/>
          <w:sz w:val="96"/>
          <w:szCs w:val="96"/>
        </w:rPr>
        <w:t xml:space="preserve">NOTACHAIN</w:t>
      </w:r>
    </w:p>
    <w:p>
      <w:pPr>
        <w:spacing w:after="120"/>
        <w:jc w:val="center"/>
      </w:pPr>
      <w:r>
        <w:rPr>
          <w:rFonts w:ascii="Arial" w:cs="Arial" w:eastAsia="Arial" w:hAnsi="Arial"/>
          <w:color w:val="2E75B6"/>
          <w:sz w:val="28"/>
          <w:szCs w:val="28"/>
        </w:rPr>
        <w:t xml:space="preserve">A Protocol for Legally-Anchored On-Chain Attestations</w:t>
      </w:r>
    </w:p>
    <w:p>
      <w:pPr>
        <w:spacing w:after="480"/>
        <w:jc w:val="center"/>
      </w:pPr>
      <w:r>
        <w:rPr>
          <w:rFonts w:ascii="Arial" w:cs="Arial" w:eastAsia="Arial" w:hAnsi="Arial"/>
          <w:color w:val="2E75B6"/>
          <w:sz w:val="28"/>
          <w:szCs w:val="28"/>
        </w:rPr>
        <w:t xml:space="preserve">and Cryptographically-Underwritten Digital Asset Insurance</w:t>
      </w:r>
    </w:p>
    <w:p>
      <w:pPr>
        <w:spacing w:after="1440"/>
        <w:jc w:val="center"/>
      </w:pPr>
      <w:r>
        <w:rPr>
          <w:rFonts w:ascii="Arial" w:cs="Arial" w:eastAsia="Arial" w:hAnsi="Arial"/>
          <w:i/>
          <w:iCs/>
          <w:color w:val="888888"/>
          <w:sz w:val="20"/>
          <w:szCs w:val="20"/>
        </w:rPr>
        <w:t xml:space="preserve">Working Paper v0.2  —  Draft for Discussion</w:t>
      </w:r>
    </w:p>
    <w:p>
      <w:pPr>
        <w:pBdr>
          <w:bottom w:val="single" w:color="CCCCCC" w:sz="2" w:space="1"/>
        </w:pBdr>
        <w:spacing w:before="160" w:after="160"/>
      </w:pPr>
      <w:r>
        <w:t xml:space="preserve"/>
      </w:r>
    </w:p>
    <w:p>
      <w:pPr>
        <w:spacing w:before="0" w:after="32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Abstract</w:t>
      </w:r>
    </w:p>
    <w:p>
      <w:pPr>
        <w:spacing w:before="80" w:after="160"/>
        <w:jc w:val="both"/>
      </w:pPr>
      <w:r>
        <w:rPr>
          <w:rFonts w:ascii="Arial" w:cs="Arial" w:eastAsia="Arial" w:hAnsi="Arial"/>
          <w:sz w:val="22"/>
          <w:szCs w:val="22"/>
        </w:rPr>
        <w:t xml:space="preserve">Notachain is a protocol that brings private judicial authority on-chain. By enabling credentialed legal professionals — notaries, solicitors, barristers, and judicial officers — to register cryptographic keypairs on a public, immutable registry, Notachain creates a class of attestations backed by the full weight of institutional legal accountability. These attestations serve as the trust foundation for a new generation of on-chain financial products.</w:t>
      </w:r>
    </w:p>
    <w:p>
      <w:pPr>
        <w:spacing w:before="80" w:after="160"/>
        <w:jc w:val="both"/>
      </w:pPr>
      <w:r>
        <w:rPr>
          <w:rFonts w:ascii="Arial" w:cs="Arial" w:eastAsia="Arial" w:hAnsi="Arial"/>
          <w:sz w:val="22"/>
          <w:szCs w:val="22"/>
        </w:rPr>
        <w:t xml:space="preserve">The protocol's primary application is the underwriting of digital asset insurance — specifically, wallet drain coverage. Current crypto insurance products are either non-existent for individual users or prohibitively expensive due to the inability to accurately price anonymous, off-chain risk. Notachain resolves this by combining: (1) a legally-anchored attestation layer for minimum-disclosure underwriting, (2) smart contract wallet architecture with behavioral guardrails, (3) ZK proofs for privacy-preserving risk disclosure, and (4) on-chain forensics for transparent claims adjudication.</w:t>
      </w:r>
    </w:p>
    <w:p>
      <w:pPr>
        <w:spacing w:before="80" w:after="160"/>
        <w:jc w:val="both"/>
      </w:pPr>
      <w:r>
        <w:rPr>
          <w:rFonts w:ascii="Arial" w:cs="Arial" w:eastAsia="Arial" w:hAnsi="Arial"/>
          <w:sz w:val="22"/>
          <w:szCs w:val="22"/>
        </w:rPr>
        <w:t xml:space="preserve">The result is a system in which the transparency of blockchain — typically considered a privacy liability — becomes the primary instrument of fraud prevention, enabling insurance products that are more verifiable and more fraud-resistant than their traditional counterparts.</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1. The Problem</w:t>
      </w:r>
    </w:p>
    <w:p>
      <w:pPr>
        <w:pStyle w:val="Heading2"/>
        <w:spacing w:before="320" w:after="160"/>
      </w:pPr>
      <w:r>
        <w:rPr>
          <w:rFonts w:ascii="Arial" w:cs="Arial" w:eastAsia="Arial" w:hAnsi="Arial"/>
          <w:b/>
          <w:bCs/>
          <w:color w:val="2E75B6"/>
          <w:sz w:val="28"/>
          <w:szCs w:val="28"/>
        </w:rPr>
        <w:t xml:space="preserve">1.1 Crypto Adoption is Blocked by Missing Protection Infrastructure</w:t>
      </w:r>
    </w:p>
    <w:p>
      <w:pPr>
        <w:spacing w:before="80" w:after="160"/>
        <w:jc w:val="both"/>
      </w:pPr>
      <w:r>
        <w:rPr>
          <w:rFonts w:ascii="Arial" w:cs="Arial" w:eastAsia="Arial" w:hAnsi="Arial"/>
          <w:sz w:val="22"/>
          <w:szCs w:val="22"/>
        </w:rPr>
        <w:t xml:space="preserve">Mass adoption of digital assets is structurally impeded not by lack of interest, but by lack of protection. Traditional financial systems derive their user confidence from a layered stack of safeguards: deposit insurance, fraud reversal mechanisms, institutional custody, and legal recourse. Crypto currently offers none of these to individual users.</w:t>
      </w:r>
    </w:p>
    <w:p>
      <w:pPr>
        <w:spacing w:before="80" w:after="160"/>
        <w:jc w:val="both"/>
      </w:pPr>
      <w:r>
        <w:rPr>
          <w:rFonts w:ascii="Arial" w:cs="Arial" w:eastAsia="Arial" w:hAnsi="Arial"/>
          <w:sz w:val="22"/>
          <w:szCs w:val="22"/>
        </w:rPr>
        <w:t xml:space="preserve">When a wallet is drained — through phishing, malware, clipboard hijacking, or social engineering — recovery is functionally impossible. Transactions are irreversible. Attackers are pseudonymous. There is no equivalent of a chargeback. The user simply loses.</w:t>
      </w:r>
    </w:p>
    <w:p>
      <w:pPr>
        <w:spacing w:before="80" w:after="160"/>
        <w:jc w:val="both"/>
      </w:pPr>
      <w:r>
        <w:rPr>
          <w:rFonts w:ascii="Arial" w:cs="Arial" w:eastAsia="Arial" w:hAnsi="Arial"/>
          <w:sz w:val="22"/>
          <w:szCs w:val="22"/>
        </w:rPr>
        <w:t xml:space="preserve">This is not a fringe risk. Private key compromise is consistently cited by on-chain analytics firms as the leading cause of individual crypto theft. The attack surface is almost entirely off-chain: malicious browser extensions, fake wallet connection prompts, compromised clipboards, and social engineering.</w:t>
      </w:r>
    </w:p>
    <w:p>
      <w:pPr>
        <w:pStyle w:val="Heading2"/>
        <w:spacing w:before="320" w:after="160"/>
      </w:pPr>
      <w:r>
        <w:rPr>
          <w:rFonts w:ascii="Arial" w:cs="Arial" w:eastAsia="Arial" w:hAnsi="Arial"/>
          <w:b/>
          <w:bCs/>
          <w:color w:val="2E75B6"/>
          <w:sz w:val="28"/>
          <w:szCs w:val="28"/>
        </w:rPr>
        <w:t xml:space="preserve">1.2 Existing Insurance Products Fail the Individual User</w:t>
      </w:r>
    </w:p>
    <w:p>
      <w:pPr>
        <w:spacing w:before="80" w:after="160"/>
        <w:jc w:val="both"/>
      </w:pPr>
      <w:r>
        <w:rPr>
          <w:rFonts w:ascii="Arial" w:cs="Arial" w:eastAsia="Arial" w:hAnsi="Arial"/>
          <w:sz w:val="22"/>
          <w:szCs w:val="22"/>
        </w:rPr>
        <w:t xml:space="preserve">The nascent crypto insurance market exists almost exclusively for institutional custodians, exchanges, and protocol treasuries. Products covering individual wallet holders are either unavailable or priced at rates that make coverage irrational.</w:t>
      </w:r>
    </w:p>
    <w:p>
      <w:pPr>
        <w:spacing w:before="80" w:after="160"/>
        <w:jc w:val="both"/>
      </w:pPr>
      <w:r>
        <w:rPr>
          <w:rFonts w:ascii="Arial" w:cs="Arial" w:eastAsia="Arial" w:hAnsi="Arial"/>
          <w:sz w:val="22"/>
          <w:szCs w:val="22"/>
        </w:rPr>
        <w:t xml:space="preserve">The root cause is underwriting failure. Traditional insurance prices risk against identity: age, history, behaviour, verified credentials. Crypto wallets are pseudonymous. Underwriters, unable to price the actual risk profile of a specific wallet holder, default to worst-case assumptions and charge accordingly. A product charging 10-30% of asset value as an annual premium is not a product — it is a deterrent.</w:t>
      </w:r>
    </w:p>
    <w:p>
      <w:pPr>
        <w:spacing w:before="80" w:after="160"/>
        <w:jc w:val="both"/>
      </w:pPr>
      <w:r>
        <w:rPr>
          <w:rFonts w:ascii="Arial" w:cs="Arial" w:eastAsia="Arial" w:hAnsi="Arial"/>
          <w:sz w:val="22"/>
          <w:szCs w:val="22"/>
        </w:rPr>
        <w:t xml:space="preserve">What is needed is a mechanism to accurately price anonymous on-chain risk. This requires bridging off-chain behavioural data — the signals that actually predict wallet drain events — into a form that is cryptographically verifiable, privacy-preserving, and legally accountable.</w:t>
      </w:r>
    </w:p>
    <w:p>
      <w:pPr>
        <w:pStyle w:val="Heading2"/>
        <w:spacing w:before="320" w:after="160"/>
      </w:pPr>
      <w:r>
        <w:rPr>
          <w:rFonts w:ascii="Arial" w:cs="Arial" w:eastAsia="Arial" w:hAnsi="Arial"/>
          <w:b/>
          <w:bCs/>
          <w:color w:val="2E75B6"/>
          <w:sz w:val="28"/>
          <w:szCs w:val="28"/>
        </w:rPr>
        <w:t xml:space="preserve">1.3 The On-Chain Transparency Paradox</w:t>
      </w:r>
    </w:p>
    <w:p>
      <w:pPr>
        <w:spacing w:before="80" w:after="160"/>
        <w:jc w:val="both"/>
      </w:pPr>
      <w:r>
        <w:rPr>
          <w:rFonts w:ascii="Arial" w:cs="Arial" w:eastAsia="Arial" w:hAnsi="Arial"/>
          <w:sz w:val="22"/>
          <w:szCs w:val="22"/>
        </w:rPr>
        <w:t xml:space="preserve">Blockchain is often framed as a privacy liability. In insurance, it is the opposite. On-chain transaction history is perfectly recorded, immutable, and publicly verifiable. Every approval, every interaction, every destination address is timestamped and permanent.</w:t>
      </w:r>
    </w:p>
    <w:p>
      <w:pPr>
        <w:spacing w:before="80" w:after="160"/>
        <w:jc w:val="both"/>
      </w:pPr>
      <w:r>
        <w:rPr>
          <w:rFonts w:ascii="Arial" w:cs="Arial" w:eastAsia="Arial" w:hAnsi="Arial"/>
          <w:sz w:val="22"/>
          <w:szCs w:val="22"/>
        </w:rPr>
        <w:t xml:space="preserve">This transparency creates a forensic foundation that traditional insurance cannot match. A car insurer reconstructs events from testimony. An on-chain insurer reads them directly from the ledger. The primary remaining challenge is not fraud detection on-chain — it is verifying the off-chain behaviour that precedes drain events.</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2. Protocol Architecture</w:t>
      </w:r>
    </w:p>
    <w:p>
      <w:pPr>
        <w:pStyle w:val="Heading2"/>
        <w:spacing w:before="320" w:after="160"/>
      </w:pPr>
      <w:r>
        <w:rPr>
          <w:rFonts w:ascii="Arial" w:cs="Arial" w:eastAsia="Arial" w:hAnsi="Arial"/>
          <w:b/>
          <w:bCs/>
          <w:color w:val="2E75B6"/>
          <w:sz w:val="28"/>
          <w:szCs w:val="28"/>
        </w:rPr>
        <w:t xml:space="preserve">2.1 Overview</w:t>
      </w:r>
    </w:p>
    <w:p>
      <w:pPr>
        <w:spacing w:before="80" w:after="160"/>
        <w:jc w:val="both"/>
      </w:pPr>
      <w:r>
        <w:rPr>
          <w:rFonts w:ascii="Arial" w:cs="Arial" w:eastAsia="Arial" w:hAnsi="Arial"/>
          <w:sz w:val="22"/>
          <w:szCs w:val="22"/>
        </w:rPr>
        <w:t xml:space="preserve">Notachain operates across four interconnected layers:</w:t>
      </w:r>
    </w:p>
    <w:p>
      <w:pPr>
        <w:pStyle w:val="ListParagraph"/>
        <w:numPr>
          <w:ilvl w:val="0"/>
          <w:numId w:val="2"/>
        </w:numPr>
        <w:spacing w:before="60" w:after="60"/>
      </w:pPr>
      <w:r>
        <w:rPr>
          <w:rFonts w:ascii="Arial" w:cs="Arial" w:eastAsia="Arial" w:hAnsi="Arial"/>
          <w:sz w:val="22"/>
          <w:szCs w:val="22"/>
        </w:rPr>
        <w:t xml:space="preserve">The Notary Registry — an on-chain registry of credentialed notary public keys</w:t>
      </w:r>
    </w:p>
    <w:p>
      <w:pPr>
        <w:pStyle w:val="ListParagraph"/>
        <w:numPr>
          <w:ilvl w:val="0"/>
          <w:numId w:val="2"/>
        </w:numPr>
        <w:spacing w:before="60" w:after="60"/>
      </w:pPr>
      <w:r>
        <w:rPr>
          <w:rFonts w:ascii="Arial" w:cs="Arial" w:eastAsia="Arial" w:hAnsi="Arial"/>
          <w:sz w:val="22"/>
          <w:szCs w:val="22"/>
        </w:rPr>
        <w:t xml:space="preserve">The Attestation Layer — ZK-proof-bearing declarations signed by registered notaries</w:t>
      </w:r>
    </w:p>
    <w:p>
      <w:pPr>
        <w:pStyle w:val="ListParagraph"/>
        <w:numPr>
          <w:ilvl w:val="0"/>
          <w:numId w:val="2"/>
        </w:numPr>
        <w:spacing w:before="60" w:after="60"/>
      </w:pPr>
      <w:r>
        <w:rPr>
          <w:rFonts w:ascii="Arial" w:cs="Arial" w:eastAsia="Arial" w:hAnsi="Arial"/>
          <w:sz w:val="22"/>
          <w:szCs w:val="22"/>
        </w:rPr>
        <w:t xml:space="preserve">The Smart Contract Wallet — ERC-4337 account abstraction with behavioral guardrails</w:t>
      </w:r>
    </w:p>
    <w:p>
      <w:pPr>
        <w:pStyle w:val="ListParagraph"/>
        <w:numPr>
          <w:ilvl w:val="0"/>
          <w:numId w:val="2"/>
        </w:numPr>
        <w:spacing w:before="60" w:after="60"/>
      </w:pPr>
      <w:r>
        <w:rPr>
          <w:rFonts w:ascii="Arial" w:cs="Arial" w:eastAsia="Arial" w:hAnsi="Arial"/>
          <w:sz w:val="22"/>
          <w:szCs w:val="22"/>
        </w:rPr>
        <w:t xml:space="preserve">The Insurance Protocol — underwriting and claims logic anchored to attestation data</w:t>
      </w:r>
    </w:p>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2.2 The Notary Registry</w:t>
      </w:r>
    </w:p>
    <w:p>
      <w:pPr>
        <w:spacing w:before="80" w:after="160"/>
        <w:jc w:val="both"/>
      </w:pPr>
      <w:r>
        <w:rPr>
          <w:rFonts w:ascii="Arial" w:cs="Arial" w:eastAsia="Arial" w:hAnsi="Arial"/>
          <w:sz w:val="22"/>
          <w:szCs w:val="22"/>
        </w:rPr>
        <w:t xml:space="preserve">The registry is a public, immutable on-chain record mapping credentialed legal professional public keys to their credentials: jurisdiction, licensing body, contact details, and registration timestamp.</w:t>
      </w:r>
    </w:p>
    <w:p>
      <w:pPr>
        <w:pStyle w:val="Heading3"/>
        <w:spacing w:before="240" w:after="120"/>
      </w:pPr>
      <w:r>
        <w:rPr>
          <w:rFonts w:ascii="Arial" w:cs="Arial" w:eastAsia="Arial" w:hAnsi="Arial"/>
          <w:b/>
          <w:bCs/>
          <w:color w:val="1A3A5C"/>
          <w:sz w:val="24"/>
          <w:szCs w:val="24"/>
        </w:rPr>
        <w:t xml:space="preserve">2.2.1 Who Qualifies as a Notachain Notary</w:t>
      </w:r>
    </w:p>
    <w:p>
      <w:pPr>
        <w:spacing w:before="80" w:after="160"/>
        <w:jc w:val="both"/>
      </w:pPr>
      <w:r>
        <w:rPr>
          <w:rFonts w:ascii="Arial" w:cs="Arial" w:eastAsia="Arial" w:hAnsi="Arial"/>
          <w:sz w:val="22"/>
          <w:szCs w:val="22"/>
        </w:rPr>
        <w:t xml:space="preserve">Notachain uses the term “notary” broadly to mean any credentialed legal professional with attestation authority, professional accountability, and legal liability for fraudulent conduct. This includes, but is not limited to:</w:t>
      </w:r>
    </w:p>
    <w:p>
      <w:pPr>
        <w:pStyle w:val="ListParagraph"/>
        <w:numPr>
          <w:ilvl w:val="0"/>
          <w:numId w:val="2"/>
        </w:numPr>
        <w:spacing w:before="60" w:after="60"/>
      </w:pPr>
      <w:r>
        <w:rPr>
          <w:rFonts w:ascii="Arial" w:cs="Arial" w:eastAsia="Arial" w:hAnsi="Arial"/>
          <w:sz w:val="22"/>
          <w:szCs w:val="22"/>
        </w:rPr>
        <w:t xml:space="preserve">Civil law notaries (notaires, Notare, notarios) — government-appointed legal officers with quasi-judicial status</w:t>
      </w:r>
    </w:p>
    <w:p>
      <w:pPr>
        <w:pStyle w:val="ListParagraph"/>
        <w:numPr>
          <w:ilvl w:val="0"/>
          <w:numId w:val="2"/>
        </w:numPr>
        <w:spacing w:before="60" w:after="60"/>
      </w:pPr>
      <w:r>
        <w:rPr>
          <w:rFonts w:ascii="Arial" w:cs="Arial" w:eastAsia="Arial" w:hAnsi="Arial"/>
          <w:sz w:val="22"/>
          <w:szCs w:val="22"/>
        </w:rPr>
        <w:t xml:space="preserve">Common law notaries public — senior legal practitioners commissioned by a court or state authority</w:t>
      </w:r>
    </w:p>
    <w:p>
      <w:pPr>
        <w:pStyle w:val="ListParagraph"/>
        <w:numPr>
          <w:ilvl w:val="0"/>
          <w:numId w:val="2"/>
        </w:numPr>
        <w:spacing w:before="60" w:after="60"/>
      </w:pPr>
      <w:r>
        <w:rPr>
          <w:rFonts w:ascii="Arial" w:cs="Arial" w:eastAsia="Arial" w:hAnsi="Arial"/>
          <w:sz w:val="22"/>
          <w:szCs w:val="22"/>
        </w:rPr>
        <w:t xml:space="preserve">Solicitors and barristers — licensed legal practitioners with professional bodies capable of disciplinary action</w:t>
      </w:r>
    </w:p>
    <w:p>
      <w:pPr>
        <w:pStyle w:val="ListParagraph"/>
        <w:numPr>
          <w:ilvl w:val="0"/>
          <w:numId w:val="2"/>
        </w:numPr>
        <w:spacing w:before="60" w:after="60"/>
      </w:pPr>
      <w:r>
        <w:rPr>
          <w:rFonts w:ascii="Arial" w:cs="Arial" w:eastAsia="Arial" w:hAnsi="Arial"/>
          <w:sz w:val="22"/>
          <w:szCs w:val="22"/>
        </w:rPr>
        <w:t xml:space="preserve">Judicial officers and registrars — officers of the court with existing attestation authority</w:t>
      </w:r>
    </w:p>
    <w:p>
      <w:pPr>
        <w:spacing w:before="80" w:after="160"/>
        <w:jc w:val="both"/>
      </w:pPr>
      <w:r>
        <w:rPr>
          <w:rFonts w:ascii="Arial" w:cs="Arial" w:eastAsia="Arial" w:hAnsi="Arial"/>
          <w:sz w:val="22"/>
          <w:szCs w:val="22"/>
        </w:rPr>
        <w:t xml:space="preserve">What qualifies a participant is not the job title but the accountability structure: a recognised licensing body with real disciplinary power, personal legal liability for fraudulent attestation, and publicly verifiable credentials.</w:t>
      </w:r>
    </w:p>
    <w:p>
      <w:pPr>
        <w:pStyle w:val="Heading3"/>
        <w:spacing w:before="240" w:after="120"/>
      </w:pPr>
      <w:r>
        <w:rPr>
          <w:rFonts w:ascii="Arial" w:cs="Arial" w:eastAsia="Arial" w:hAnsi="Arial"/>
          <w:b/>
          <w:bCs/>
          <w:color w:val="1A3A5C"/>
          <w:sz w:val="24"/>
          <w:szCs w:val="24"/>
        </w:rPr>
        <w:t xml:space="preserve">2.2.2 Civil Law vs Common Law: A Critical Distinction</w:t>
      </w:r>
    </w:p>
    <w:p>
      <w:pPr>
        <w:spacing w:before="80" w:after="160"/>
        <w:jc w:val="both"/>
      </w:pPr>
      <w:r>
        <w:rPr>
          <w:rFonts w:ascii="Arial" w:cs="Arial" w:eastAsia="Arial" w:hAnsi="Arial"/>
          <w:sz w:val="22"/>
          <w:szCs w:val="22"/>
        </w:rPr>
        <w:t xml:space="preserve">Two primary legal traditions govern legal attestation globally, and they carry fundamentally different trust weights.</w:t>
      </w:r>
    </w:p>
    <w:p>
      <w:pPr>
        <w:spacing w:before="80" w:after="160"/>
        <w:jc w:val="both"/>
      </w:pPr>
      <w:r>
        <w:rPr>
          <w:rFonts w:ascii="Arial" w:cs="Arial" w:eastAsia="Arial" w:hAnsi="Arial"/>
          <w:sz w:val="22"/>
          <w:szCs w:val="22"/>
        </w:rPr>
        <w:t xml:space="preserve">In civil law jurisdictions — continental Europe, Latin America, East Asia, and much of Africa — the notary is best understood as a private judge for non-contentious matters. Where common law resolves disputes adversarially in court after they arise, civil law prevents them before they arise. The civil law notary is the instrument of that prevention.</w:t>
      </w:r>
    </w:p>
    <w:p>
      <w:pPr>
        <w:spacing w:before="80" w:after="160"/>
        <w:jc w:val="both"/>
      </w:pPr>
      <w:r>
        <w:rPr>
          <w:rFonts w:ascii="Arial" w:cs="Arial" w:eastAsia="Arial" w:hAnsi="Arial"/>
          <w:sz w:val="22"/>
          <w:szCs w:val="22"/>
        </w:rPr>
        <w:t xml:space="preserve">A French notaire or German Notar is appointed by the state, often for life, to a specific territory. They draft legal instruments themselves — they do not merely witness documents prepared by others. Their authenticated instruments carry prima facie evidentiary weight in court and are enforceable without further proceedings. They hold unlimited personal liability for errors. In many jurisdictions they hold a legal monopoly on certain transaction types: property transfers, corporate formations, wills. A civil law notary’s attestation is not a professional declaration — it is a private judicial act.</w:t>
      </w:r>
    </w:p>
    <w:p>
      <w:pPr>
        <w:spacing w:before="80" w:after="160"/>
        <w:jc w:val="both"/>
      </w:pPr>
      <w:r>
        <w:rPr>
          <w:rFonts w:ascii="Arial" w:cs="Arial" w:eastAsia="Arial" w:hAnsi="Arial"/>
          <w:sz w:val="22"/>
          <w:szCs w:val="22"/>
        </w:rPr>
        <w:t xml:space="preserve">In common law jurisdictions — Australia, the UK, Canada, the United States — notaries have a more limited administrative role: primarily identity verification and signature witnessing. They do not draft instruments or provide legal advice unless they are also qualified lawyers. Their attestations carry the weight of a professional declaration, not a judicial instrument. Notable exceptions: England &amp; Wales notaries hold significant international document authority, and NSW notaries are senior solicitors with a formal court commission.</w:t>
      </w:r>
    </w:p>
    <w:p>
      <w:pPr>
        <w:spacing w:before="80" w:after="160"/>
        <w:jc w:val="both"/>
      </w:pPr>
      <w:r>
        <w:rPr>
          <w:rFonts w:ascii="Arial" w:cs="Arial" w:eastAsia="Arial" w:hAnsi="Arial"/>
          <w:sz w:val="22"/>
          <w:szCs w:val="22"/>
        </w:rPr>
        <w:t xml:space="preserve">This distinction is reflected in the Notachain trust tier system. Civil law notary attestations carry Tier A weight — the equivalent of a private judicial act. Common law lawyer-notaries carry Tier B weight. Administrative notaries without legal qualifications carry Tier C weight and may require multiple attestations for high-value underwriting.</w:t>
      </w:r>
    </w:p>
    <w:p>
      <w:pPr>
        <w:pStyle w:val="Heading3"/>
        <w:spacing w:before="240" w:after="120"/>
      </w:pPr>
      <w:r>
        <w:rPr>
          <w:rFonts w:ascii="Arial" w:cs="Arial" w:eastAsia="Arial" w:hAnsi="Arial"/>
          <w:b/>
          <w:bCs/>
          <w:color w:val="1A3A5C"/>
          <w:sz w:val="24"/>
          <w:szCs w:val="24"/>
        </w:rPr>
        <w:t xml:space="preserve">2.2.3 The International Union of Notaries (UINL)</w:t>
      </w:r>
    </w:p>
    <w:p>
      <w:pPr>
        <w:spacing w:before="80" w:after="160"/>
        <w:jc w:val="both"/>
      </w:pPr>
      <w:r>
        <w:rPr>
          <w:rFonts w:ascii="Arial" w:cs="Arial" w:eastAsia="Arial" w:hAnsi="Arial"/>
          <w:sz w:val="22"/>
          <w:szCs w:val="22"/>
        </w:rPr>
        <w:t xml:space="preserve">The International Union of Notaries (UINL), founded in 1948, is the international umbrella body for civil law notariats. It currently comprises 92 member notariats across four continents, representing approximately 70% of the global population. All 22 EU member states with civil law systems are UINL members, as are virtually all Latin American countries, Eastern Europe, China, Japan, and significant portions of Asia and Africa.</w:t>
      </w:r>
    </w:p>
    <w:p>
      <w:pPr>
        <w:spacing w:before="80" w:after="160"/>
        <w:jc w:val="both"/>
      </w:pPr>
      <w:r>
        <w:rPr>
          <w:rFonts w:ascii="Arial" w:cs="Arial" w:eastAsia="Arial" w:hAnsi="Arial"/>
          <w:sz w:val="22"/>
          <w:szCs w:val="22"/>
        </w:rPr>
        <w:t xml:space="preserve">The UINL is designated as a Meta-Tier 1 body under the Notachain Protocol. Any national notariat holding current UINL membership is automatically eligible for Tier 1 listing on the registry. This provides immediate global coverage of the civil law world at protocol launch, without requiring individual country-by-country assessment for the majority of jurisdictions.</w:t>
      </w:r>
    </w:p>
    <w:p>
      <w:pPr>
        <w:pStyle w:val="Heading3"/>
        <w:spacing w:before="240" w:after="120"/>
      </w:pPr>
      <w:r>
        <w:rPr>
          <w:rFonts w:ascii="Arial" w:cs="Arial" w:eastAsia="Arial" w:hAnsi="Arial"/>
          <w:b/>
          <w:bCs/>
          <w:color w:val="1A3A5C"/>
          <w:sz w:val="24"/>
          <w:szCs w:val="24"/>
        </w:rPr>
        <w:t xml:space="preserve">2.2.4 Two-Tier Registry Architecture</w:t>
      </w:r>
    </w:p>
    <w:p>
      <w:pPr>
        <w:spacing w:before="80" w:after="160"/>
        <w:jc w:val="both"/>
      </w:pPr>
      <w:r>
        <w:rPr>
          <w:rFonts w:ascii="Arial" w:cs="Arial" w:eastAsia="Arial" w:hAnsi="Arial"/>
          <w:sz w:val="22"/>
          <w:szCs w:val="22"/>
        </w:rPr>
        <w:t xml:space="preserve">The registry operates across two tiers:</w:t>
      </w:r>
    </w:p>
    <w:p>
      <w:pPr>
        <w:pStyle w:val="ListParagraph"/>
        <w:numPr>
          <w:ilvl w:val="0"/>
          <w:numId w:val="2"/>
        </w:numPr>
        <w:spacing w:before="60" w:after="60"/>
      </w:pPr>
      <w:r>
        <w:rPr>
          <w:rFonts w:ascii="Arial" w:cs="Arial" w:eastAsia="Arial" w:hAnsi="Arial"/>
          <w:sz w:val="22"/>
          <w:szCs w:val="22"/>
        </w:rPr>
        <w:t xml:space="preserve">Tier 1 — Licensing Bodies: recognised regulatory and professional bodies that license, commission, or govern notarial participants. Includes all UINL member notariats and approved common law professional bodies. Maintained by Notachain as the root of trust.</w:t>
      </w:r>
    </w:p>
    <w:p>
      <w:pPr>
        <w:pStyle w:val="ListParagraph"/>
        <w:numPr>
          <w:ilvl w:val="0"/>
          <w:numId w:val="2"/>
        </w:numPr>
        <w:spacing w:before="60" w:after="60"/>
      </w:pPr>
      <w:r>
        <w:rPr>
          <w:rFonts w:ascii="Arial" w:cs="Arial" w:eastAsia="Arial" w:hAnsi="Arial"/>
          <w:sz w:val="22"/>
          <w:szCs w:val="22"/>
        </w:rPr>
        <w:t xml:space="preserve">Tier 2 — Individual Notaries: credentialed legal professionals who self-register their keypairs under a recognised Tier 1 licensing body.</w:t>
      </w:r>
    </w:p>
    <w:p>
      <w:pPr>
        <w:spacing w:before="80" w:after="160"/>
        <w:jc w:val="both"/>
      </w:pPr>
      <w:r>
        <w:rPr>
          <w:rFonts w:ascii="Arial" w:cs="Arial" w:eastAsia="Arial" w:hAnsi="Arial"/>
          <w:sz w:val="22"/>
          <w:szCs w:val="22"/>
        </w:rPr>
        <w:t xml:space="preserve">The registry stores, for each Tier 2 participant: public key, full name, licensing body (Tier 1 reference), jurisdiction, contact details, registration timestamp, and trust tier classification. All fields are publicly auditable on-chain.</w:t>
      </w:r>
    </w:p>
    <w:p>
      <w:pPr>
        <w:pStyle w:val="Heading3"/>
        <w:spacing w:before="240" w:after="120"/>
      </w:pPr>
      <w:r>
        <w:rPr>
          <w:rFonts w:ascii="Arial" w:cs="Arial" w:eastAsia="Arial" w:hAnsi="Arial"/>
          <w:b/>
          <w:bCs/>
          <w:color w:val="1A3A5C"/>
          <w:sz w:val="24"/>
          <w:szCs w:val="24"/>
        </w:rPr>
        <w:t xml:space="preserve">2.2.5 Root of Trust</w:t>
      </w:r>
    </w:p>
    <w:p>
      <w:pPr>
        <w:spacing w:before="80" w:after="160"/>
        <w:jc w:val="both"/>
      </w:pPr>
      <w:r>
        <w:rPr>
          <w:rFonts w:ascii="Arial" w:cs="Arial" w:eastAsia="Arial" w:hAnsi="Arial"/>
          <w:sz w:val="22"/>
          <w:szCs w:val="22"/>
        </w:rPr>
        <w:t xml:space="preserve">The Tier 1 licensing body list is an axiomatic position — it cannot be derived from first principles and must be set by Notachain as the protocol foundation. This is a deliberate and acknowledged centralisation. However, it is acceptable for two reasons: the licensing bodies themselves are publicly verifiable real-world institutions (the Law Society of NSW, the Conseil Supérieur du Notariat, the UINL) that are not invented by Notachain; and the registry is on-chain, making any addition or removal fully auditable and forkable by the community.</w:t>
      </w:r>
    </w:p>
    <w:p>
      <w:pPr>
        <w:spacing w:before="80" w:after="160"/>
        <w:jc w:val="both"/>
      </w:pPr>
      <w:r>
        <w:rPr>
          <w:rFonts w:ascii="Arial" w:cs="Arial" w:eastAsia="Arial" w:hAnsi="Arial"/>
          <w:sz w:val="22"/>
          <w:szCs w:val="22"/>
        </w:rPr>
        <w:t xml:space="preserve">Notachain controls who is on the Tier 1 list. Notachain does not control what those institutions attest. The trust is architectural, not operational.</w:t>
      </w:r>
    </w:p>
    <w:p>
      <w:pPr>
        <w:pStyle w:val="Heading3"/>
        <w:spacing w:before="240" w:after="120"/>
      </w:pPr>
      <w:r>
        <w:rPr>
          <w:rFonts w:ascii="Arial" w:cs="Arial" w:eastAsia="Arial" w:hAnsi="Arial"/>
          <w:b/>
          <w:bCs/>
          <w:color w:val="1A3A5C"/>
          <w:sz w:val="24"/>
          <w:szCs w:val="24"/>
        </w:rPr>
        <w:t xml:space="preserve">2.2.6 Registration Flow</w:t>
      </w:r>
    </w:p>
    <w:p>
      <w:pPr>
        <w:spacing w:before="80" w:after="160"/>
        <w:jc w:val="both"/>
      </w:pPr>
      <w:r>
        <w:rPr>
          <w:rFonts w:ascii="Arial" w:cs="Arial" w:eastAsia="Arial" w:hAnsi="Arial"/>
          <w:sz w:val="22"/>
          <w:szCs w:val="22"/>
        </w:rPr>
        <w:t xml:space="preserve">A credentialed legal professional generates an asymmetric keypair, retaining the private key under their exclusive physical control. They submit their public key alongside verifiable credential metadata to the registry smart contract. The submission is permanent and publicly auditable.</w:t>
      </w:r>
    </w:p>
    <w:p>
      <w:pPr>
        <w:spacing w:before="80" w:after="160"/>
        <w:jc w:val="both"/>
      </w:pPr>
      <w:r>
        <w:rPr>
          <w:rFonts w:ascii="Arial" w:cs="Arial" w:eastAsia="Arial" w:hAnsi="Arial"/>
          <w:sz w:val="22"/>
          <w:szCs w:val="22"/>
        </w:rPr>
        <w:t xml:space="preserve">The registry does not verify credentials itself. Trust is established through two orthogonal mechanisms:</w:t>
      </w:r>
    </w:p>
    <w:p>
      <w:pPr>
        <w:pStyle w:val="ListParagraph"/>
        <w:numPr>
          <w:ilvl w:val="0"/>
          <w:numId w:val="2"/>
        </w:numPr>
        <w:spacing w:before="60" w:after="60"/>
      </w:pPr>
      <w:r>
        <w:rPr>
          <w:rFonts w:ascii="Arial" w:cs="Arial" w:eastAsia="Arial" w:hAnsi="Arial"/>
          <w:sz w:val="22"/>
          <w:szCs w:val="22"/>
        </w:rPr>
        <w:t xml:space="preserve">Cryptographic: any attestation signed by the participant's private key is unforgeable without physical compromise of that key</w:t>
      </w:r>
    </w:p>
    <w:p>
      <w:pPr>
        <w:pStyle w:val="ListParagraph"/>
        <w:numPr>
          <w:ilvl w:val="0"/>
          <w:numId w:val="2"/>
        </w:numPr>
        <w:spacing w:before="60" w:after="60"/>
      </w:pPr>
      <w:r>
        <w:rPr>
          <w:rFonts w:ascii="Arial" w:cs="Arial" w:eastAsia="Arial" w:hAnsi="Arial"/>
          <w:sz w:val="22"/>
          <w:szCs w:val="22"/>
        </w:rPr>
        <w:t xml:space="preserve">Legal: impersonating a licensed professional or submitting fraudulent credentials exposes the actor to criminal liability under the laws of the relevant jurisdiction</w:t>
      </w:r>
    </w:p>
    <w:p>
      <w:pPr>
        <w:spacing w:before="80" w:after="160"/>
        <w:jc w:val="both"/>
      </w:pPr>
      <w:r>
        <w:rPr>
          <w:rFonts w:ascii="Arial" w:cs="Arial" w:eastAsia="Arial" w:hAnsi="Arial"/>
          <w:sz w:val="22"/>
          <w:szCs w:val="22"/>
        </w:rPr>
        <w:t xml:space="preserve">Out-of-band verification is always available: any party can contact a registered participant directly using the published contact details to confirm their public key. This is the same verification model used in HTTPS certificate authorities and is robust against the primary impersonation attack.</w:t>
      </w:r>
    </w:p>
    <w:p>
      <w:pPr>
        <w:pStyle w:val="Heading3"/>
        <w:spacing w:before="240" w:after="120"/>
      </w:pPr>
      <w:r>
        <w:rPr>
          <w:rFonts w:ascii="Arial" w:cs="Arial" w:eastAsia="Arial" w:hAnsi="Arial"/>
          <w:b/>
          <w:bCs/>
          <w:color w:val="1A3A5C"/>
          <w:sz w:val="24"/>
          <w:szCs w:val="24"/>
        </w:rPr>
        <w:t xml:space="preserve">2.2.7 Key Rotation</w:t>
      </w:r>
    </w:p>
    <w:p>
      <w:pPr>
        <w:spacing w:before="80" w:after="160"/>
        <w:jc w:val="both"/>
      </w:pPr>
      <w:r>
        <w:rPr>
          <w:rFonts w:ascii="Arial" w:cs="Arial" w:eastAsia="Arial" w:hAnsi="Arial"/>
          <w:sz w:val="22"/>
          <w:szCs w:val="22"/>
        </w:rPr>
        <w:t xml:space="preserve">In the event a registered participant loses access to their signing keypair, key rotation requires a countersigned rotation request from their Tier 1 licensing body, submitted via in-person statutory declaration. The physical presence requirement is mandatory — rotation cannot be performed remotely.</w:t>
      </w:r>
    </w:p>
    <w:p>
      <w:pPr>
        <w:spacing w:before="80" w:after="160"/>
        <w:jc w:val="both"/>
      </w:pPr>
      <w:r>
        <w:rPr>
          <w:rFonts w:ascii="Arial" w:cs="Arial" w:eastAsia="Arial" w:hAnsi="Arial"/>
          <w:sz w:val="22"/>
          <w:szCs w:val="22"/>
        </w:rPr>
        <w:t xml:space="preserve">This design is intentional. An international attacker cannot fake physical presence before a licensing body. The security model of key rotation is consistent with the security model of the original registration: institutional legitimacy verified in person.</w:t>
      </w:r>
    </w:p>
    <w:p>
      <w:pPr>
        <w:spacing w:before="80" w:after="160"/>
        <w:jc w:val="both"/>
      </w:pPr>
      <w:r>
        <w:rPr>
          <w:rFonts w:ascii="Arial" w:cs="Arial" w:eastAsia="Arial" w:hAnsi="Arial"/>
          <w:sz w:val="22"/>
          <w:szCs w:val="22"/>
        </w:rPr>
        <w:t xml:space="preserve">The licensing body countersigns the rotation using their own registered Tier 1 keypair. The on-chain rotation record stores: old key (marked revoked), new key, licensing body countersigning address, rotation timestamp, and a hash of the statutory declaration reference number.</w:t>
      </w:r>
    </w:p>
    <w:p>
      <w:pPr>
        <w:pStyle w:val="Heading3"/>
        <w:spacing w:before="240" w:after="120"/>
      </w:pPr>
      <w:r>
        <w:rPr>
          <w:rFonts w:ascii="Arial" w:cs="Arial" w:eastAsia="Arial" w:hAnsi="Arial"/>
          <w:b/>
          <w:bCs/>
          <w:color w:val="1A3A5C"/>
          <w:sz w:val="24"/>
          <w:szCs w:val="24"/>
        </w:rPr>
        <w:t xml:space="preserve">2.2.8 Registry Governance</w:t>
      </w:r>
    </w:p>
    <w:p>
      <w:pPr>
        <w:spacing w:before="80" w:after="160"/>
        <w:jc w:val="both"/>
      </w:pPr>
      <w:r>
        <w:rPr>
          <w:rFonts w:ascii="Arial" w:cs="Arial" w:eastAsia="Arial" w:hAnsi="Arial"/>
          <w:sz w:val="22"/>
          <w:szCs w:val="22"/>
        </w:rPr>
        <w:t xml:space="preserve">The registry infrastructure is operated by the Notachain protocol company, which provides tooling for registration, key rotation, and credential updates. The company charges a small fee for registry interactions.</w:t>
      </w:r>
    </w:p>
    <w:p>
      <w:pPr>
        <w:spacing w:before="80" w:after="160"/>
        <w:jc w:val="both"/>
      </w:pPr>
      <w:r>
        <w:rPr>
          <w:rFonts w:ascii="Arial" w:cs="Arial" w:eastAsia="Arial" w:hAnsi="Arial"/>
          <w:sz w:val="22"/>
          <w:szCs w:val="22"/>
        </w:rPr>
        <w:t xml:space="preserve">Critically, the registry itself is on-chain. The operator provides convenience infrastructure — not the trust. If the company ceases to operate, the registry persists in perpetuity on-chain. No attestation is retroactively invalidated. The trust assumption is architectural, not operational.</w:t>
      </w:r>
    </w:p>
    <w:p>
      <w:pPr>
        <w:pStyle w:val="Heading2"/>
        <w:spacing w:before="320" w:after="160"/>
      </w:pPr>
      <w:r>
        <w:rPr>
          <w:rFonts w:ascii="Arial" w:cs="Arial" w:eastAsia="Arial" w:hAnsi="Arial"/>
          <w:b/>
          <w:bCs/>
          <w:color w:val="2E75B6"/>
          <w:sz w:val="28"/>
          <w:szCs w:val="28"/>
        </w:rPr>
        <w:t xml:space="preserve">2.3 The Attestation Layer</w:t>
      </w:r>
    </w:p>
    <w:p>
      <w:pPr>
        <w:spacing w:before="80" w:after="160"/>
        <w:jc w:val="both"/>
      </w:pPr>
      <w:r>
        <w:rPr>
          <w:rFonts w:ascii="Arial" w:cs="Arial" w:eastAsia="Arial" w:hAnsi="Arial"/>
          <w:sz w:val="22"/>
          <w:szCs w:val="22"/>
        </w:rPr>
        <w:t xml:space="preserve">Notachain attestations are ZK proofs: cryptographically signed declarations that prove a minimum-disclosure statement about a wallet holder's off-chain attributes, without revealing the underlying data.</w:t>
      </w:r>
    </w:p>
    <w:p>
      <w:pPr>
        <w:pStyle w:val="Heading3"/>
        <w:spacing w:before="240" w:after="120"/>
      </w:pPr>
      <w:r>
        <w:rPr>
          <w:rFonts w:ascii="Arial" w:cs="Arial" w:eastAsia="Arial" w:hAnsi="Arial"/>
          <w:b/>
          <w:bCs/>
          <w:color w:val="1A3A5C"/>
          <w:sz w:val="24"/>
          <w:szCs w:val="24"/>
        </w:rPr>
        <w:t xml:space="preserve">2.3.1 Two Traditions, Two Attestation Anatomies</w:t>
      </w:r>
    </w:p>
    <w:p>
      <w:pPr>
        <w:spacing w:before="80" w:after="160"/>
        <w:jc w:val="both"/>
      </w:pPr>
      <w:r>
        <w:rPr>
          <w:rFonts w:ascii="Arial" w:cs="Arial" w:eastAsia="Arial" w:hAnsi="Arial"/>
          <w:sz w:val="22"/>
          <w:szCs w:val="22"/>
        </w:rPr>
        <w:t xml:space="preserve">The two primary legal traditions produce subtly different attestation structures, and this distinction is foundational to how Notachain attestations should be understood, weighted, and constructed.</w:t>
      </w:r>
    </w:p>
    <w:p>
      <w:pPr>
        <w:spacing w:before="80" w:after="160"/>
        <w:jc w:val="both"/>
      </w:pPr>
      <w:r>
        <w:rPr>
          <w:rFonts w:ascii="Arial" w:cs="Arial" w:eastAsia="Arial" w:hAnsi="Arial"/>
          <w:sz w:val="22"/>
          <w:szCs w:val="22"/>
        </w:rPr>
        <w:t xml:space="preserve">In civil law jurisdictions, the notary owns the attestation. They are not witnessing someone else’s declaration — they are making their own. The notarial instrument is the notary’s act. They are personally responsible for its truth and its legal consequences. Their liability is total and undivided.</w:t>
      </w:r>
    </w:p>
    <w:p>
      <w:pPr>
        <w:spacing w:before="80" w:after="160"/>
        <w:jc w:val="both"/>
      </w:pPr>
      <w:r>
        <w:rPr>
          <w:rFonts w:ascii="Arial" w:cs="Arial" w:eastAsia="Arial" w:hAnsi="Arial"/>
          <w:sz w:val="22"/>
          <w:szCs w:val="22"/>
        </w:rPr>
        <w:t xml:space="preserve">In common law jurisdictions, the legal professional is the conduit, not the testator. The wallet holder makes the declaration. The legal professional witnesses it — verifying identity, confirming the declaration was made voluntarily and knowingly, and affixing their credential to the act of witnessing. The truth of the underlying claim belongs to the wallet holder. The professional’s liability is for knowingly facilitating a false one, which is a high bar but a real one.</w:t>
      </w:r>
    </w:p>
    <w:p>
      <w:pPr>
        <w:spacing w:before="80" w:after="160"/>
        <w:jc w:val="both"/>
      </w:pPr>
      <w:r>
        <w:rPr>
          <w:rFonts w:ascii="Arial" w:cs="Arial" w:eastAsia="Arial" w:hAnsi="Arial"/>
          <w:sz w:val="22"/>
          <w:szCs w:val="22"/>
        </w:rPr>
        <w:t xml:space="preserve">This means liability is distributed differently across traditions:</w:t>
      </w:r>
    </w:p>
    <w:p>
      <w:pPr>
        <w:pStyle w:val="ListParagraph"/>
        <w:numPr>
          <w:ilvl w:val="0"/>
          <w:numId w:val="2"/>
        </w:numPr>
        <w:spacing w:before="60" w:after="60"/>
      </w:pPr>
      <w:r>
        <w:rPr>
          <w:rFonts w:ascii="Arial" w:cs="Arial" w:eastAsia="Arial" w:hAnsi="Arial"/>
          <w:sz w:val="22"/>
          <w:szCs w:val="22"/>
        </w:rPr>
        <w:t xml:space="preserve">Civil law: the notary absorbs full liability for both the act of attestation and the truth of its content</w:t>
      </w:r>
    </w:p>
    <w:p>
      <w:pPr>
        <w:pStyle w:val="ListParagraph"/>
        <w:numPr>
          <w:ilvl w:val="0"/>
          <w:numId w:val="2"/>
        </w:numPr>
        <w:spacing w:before="60" w:after="60"/>
      </w:pPr>
      <w:r>
        <w:rPr>
          <w:rFonts w:ascii="Arial" w:cs="Arial" w:eastAsia="Arial" w:hAnsi="Arial"/>
          <w:sz w:val="22"/>
          <w:szCs w:val="22"/>
        </w:rPr>
        <w:t xml:space="preserve">Common law: liability is split — the wallet holder is liable for the truth of their declaration (false statutory declarations are criminal); the legal professional is liable for knowingly witnessing a false one</w:t>
      </w:r>
    </w:p>
    <w:p>
      <w:pPr>
        <w:spacing w:before="80" w:after="160"/>
        <w:jc w:val="both"/>
      </w:pPr>
      <w:r>
        <w:rPr>
          <w:rFonts w:ascii="Arial" w:cs="Arial" w:eastAsia="Arial" w:hAnsi="Arial"/>
          <w:sz w:val="22"/>
          <w:szCs w:val="22"/>
        </w:rPr>
        <w:t xml:space="preserve">The ZK proof structure reflects this anatomy. In civil law jurisdictions it wraps the notary’s own declaration. In common law jurisdictions it wraps the wallet holder’s declaration plus the professional’s witnessing of it. The cryptographic primitive is identical. The legal structure underneath is not.</w:t>
      </w:r>
    </w:p>
    <w:p>
      <w:pPr>
        <w:pStyle w:val="Heading3"/>
        <w:spacing w:before="240" w:after="120"/>
      </w:pPr>
      <w:r>
        <w:rPr>
          <w:rFonts w:ascii="Arial" w:cs="Arial" w:eastAsia="Arial" w:hAnsi="Arial"/>
          <w:b/>
          <w:bCs/>
          <w:color w:val="1A3A5C"/>
          <w:sz w:val="24"/>
          <w:szCs w:val="24"/>
        </w:rPr>
        <w:t xml:space="preserve">2.3.2 The Attestation in Practice</w:t>
      </w:r>
    </w:p>
    <w:p>
      <w:pPr>
        <w:spacing w:before="80" w:after="160"/>
        <w:jc w:val="both"/>
      </w:pPr>
      <w:r>
        <w:rPr>
          <w:rFonts w:ascii="Arial" w:cs="Arial" w:eastAsia="Arial" w:hAnsi="Arial"/>
          <w:sz w:val="22"/>
          <w:szCs w:val="22"/>
        </w:rPr>
        <w:t xml:space="preserve">A registered Notachain participant, presented with appropriate documentation by a wallet holder, generates a ZK proof asserting the relevant underwriting facts. Examples:</w:t>
      </w:r>
    </w:p>
    <w:p>
      <w:pPr>
        <w:pStyle w:val="ListParagraph"/>
        <w:numPr>
          <w:ilvl w:val="0"/>
          <w:numId w:val="2"/>
        </w:numPr>
        <w:spacing w:before="60" w:after="60"/>
      </w:pPr>
      <w:r>
        <w:rPr>
          <w:rFonts w:ascii="Arial" w:cs="Arial" w:eastAsia="Arial" w:hAnsi="Arial"/>
          <w:sz w:val="22"/>
          <w:szCs w:val="22"/>
        </w:rPr>
        <w:t xml:space="preserve">"This wallet holder has never had an approveAll event on any connected wallet in the preceding 12 months"</w:t>
      </w:r>
    </w:p>
    <w:p>
      <w:pPr>
        <w:pStyle w:val="ListParagraph"/>
        <w:numPr>
          <w:ilvl w:val="0"/>
          <w:numId w:val="2"/>
        </w:numPr>
        <w:spacing w:before="60" w:after="60"/>
      </w:pPr>
      <w:r>
        <w:rPr>
          <w:rFonts w:ascii="Arial" w:cs="Arial" w:eastAsia="Arial" w:hAnsi="Arial"/>
          <w:sz w:val="22"/>
          <w:szCs w:val="22"/>
        </w:rPr>
        <w:t xml:space="preserve">"This wallet holder operates exclusively using hardware wallet signing"</w:t>
      </w:r>
    </w:p>
    <w:p>
      <w:pPr>
        <w:pStyle w:val="ListParagraph"/>
        <w:numPr>
          <w:ilvl w:val="0"/>
          <w:numId w:val="2"/>
        </w:numPr>
        <w:spacing w:before="60" w:after="60"/>
      </w:pPr>
      <w:r>
        <w:rPr>
          <w:rFonts w:ascii="Arial" w:cs="Arial" w:eastAsia="Arial" w:hAnsi="Arial"/>
          <w:sz w:val="22"/>
          <w:szCs w:val="22"/>
        </w:rPr>
        <w:t xml:space="preserve">"This wallet holder has no prior claim history on any crypto insurance product"</w:t>
      </w:r>
    </w:p>
    <w:p>
      <w:pPr>
        <w:spacing w:before="80" w:after="160"/>
        <w:jc w:val="both"/>
      </w:pPr>
      <w:r>
        <w:rPr>
          <w:rFonts w:ascii="Arial" w:cs="Arial" w:eastAsia="Arial" w:hAnsi="Arial"/>
          <w:sz w:val="22"/>
          <w:szCs w:val="22"/>
        </w:rPr>
        <w:t xml:space="preserve">The proof is signed with the participant’s registered private key and published to the attestation layer. The insurance protocol reads the proof, verifies the signature against the registry, and adjusts the risk profile accordingly. The wallet holder’s identity is never on-chain.</w:t>
      </w:r>
    </w:p>
    <w:p>
      <w:pPr>
        <w:pStyle w:val="Heading3"/>
        <w:spacing w:before="240" w:after="120"/>
      </w:pPr>
      <w:r>
        <w:rPr>
          <w:rFonts w:ascii="Arial" w:cs="Arial" w:eastAsia="Arial" w:hAnsi="Arial"/>
          <w:b/>
          <w:bCs/>
          <w:color w:val="1A3A5C"/>
          <w:sz w:val="24"/>
          <w:szCs w:val="24"/>
        </w:rPr>
        <w:t xml:space="preserve">2.3.3 Legal Accountability as Trust Amplifier</w:t>
      </w:r>
    </w:p>
    <w:p>
      <w:pPr>
        <w:spacing w:before="80" w:after="160"/>
        <w:jc w:val="both"/>
      </w:pPr>
      <w:r>
        <w:rPr>
          <w:rFonts w:ascii="Arial" w:cs="Arial" w:eastAsia="Arial" w:hAnsi="Arial"/>
          <w:sz w:val="22"/>
          <w:szCs w:val="22"/>
        </w:rPr>
        <w:t xml:space="preserve">The participant’s stake in the attestation is not merely reputational. A legal professional who fraudulently certifies false information — or knowingly witnesses a false declaration — risks criminal prosecution, loss of professional license, and civil liability. This is a penalty structure orders of magnitude stronger than any on-chain slashing mechanism.</w:t>
      </w:r>
    </w:p>
    <w:p>
      <w:pPr>
        <w:spacing w:before="80" w:after="160"/>
        <w:jc w:val="both"/>
      </w:pPr>
      <w:r>
        <w:rPr>
          <w:rFonts w:ascii="Arial" w:cs="Arial" w:eastAsia="Arial" w:hAnsi="Arial"/>
          <w:sz w:val="22"/>
          <w:szCs w:val="22"/>
        </w:rPr>
        <w:t xml:space="preserve">For civil law notaries, the consequences are more severe still. Their attestations are private judicial acts. Corrupting a notarial instrument is not professional misconduct — it is corruption of a state-delegated judicial function. Criminal, civil, and disciplinary proceedings run simultaneously. Personal liability is unlimited.</w:t>
      </w:r>
    </w:p>
    <w:p>
      <w:pPr>
        <w:spacing w:before="80" w:after="160"/>
        <w:jc w:val="both"/>
      </w:pPr>
      <w:r>
        <w:rPr>
          <w:rFonts w:ascii="Arial" w:cs="Arial" w:eastAsia="Arial" w:hAnsi="Arial"/>
          <w:sz w:val="22"/>
          <w:szCs w:val="22"/>
        </w:rPr>
        <w:t xml:space="preserve">The trust in a Notachain attestation therefore derives from two independent, reinforcing sources: cryptographic unforgeability — you cannot fake the participant’s private key — and legal deterrence — the participant cannot lie without catastrophic personal consequence under the laws of their own jurisdiction.</w:t>
      </w:r>
    </w:p>
    <w:p>
      <w:pPr>
        <w:pStyle w:val="Heading2"/>
        <w:spacing w:before="320" w:after="160"/>
      </w:pPr>
      <w:r>
        <w:rPr>
          <w:rFonts w:ascii="Arial" w:cs="Arial" w:eastAsia="Arial" w:hAnsi="Arial"/>
          <w:b/>
          <w:bCs/>
          <w:color w:val="2E75B6"/>
          <w:sz w:val="28"/>
          <w:szCs w:val="28"/>
        </w:rPr>
        <w:t xml:space="preserve">2.4 The Smart Contract Wallet</w:t>
      </w:r>
    </w:p>
    <w:p>
      <w:pPr>
        <w:spacing w:before="80" w:after="160"/>
        <w:jc w:val="both"/>
      </w:pPr>
      <w:r>
        <w:rPr>
          <w:rFonts w:ascii="Arial" w:cs="Arial" w:eastAsia="Arial" w:hAnsi="Arial"/>
          <w:sz w:val="22"/>
          <w:szCs w:val="22"/>
        </w:rPr>
        <w:t xml:space="preserve">Notachain-compatible wallets are implemented as ERC-4337 smart contract wallets — accounts where code governs execution before any funds move. This eliminates the fundamental vulnerability of EOA wallets, where possession of the private key grants unconditional transaction authority.</w:t>
      </w:r>
    </w:p>
    <w:p>
      <w:pPr>
        <w:pStyle w:val="Heading3"/>
        <w:spacing w:before="240" w:after="120"/>
      </w:pPr>
      <w:r>
        <w:rPr>
          <w:rFonts w:ascii="Arial" w:cs="Arial" w:eastAsia="Arial" w:hAnsi="Arial"/>
          <w:b/>
          <w:bCs/>
          <w:color w:val="1A3A5C"/>
          <w:sz w:val="24"/>
          <w:szCs w:val="24"/>
        </w:rPr>
        <w:t xml:space="preserve">2.4.1 Air-Gapped Signing Oracle</w:t>
      </w:r>
    </w:p>
    <w:p>
      <w:pPr>
        <w:spacing w:before="80" w:after="160"/>
        <w:jc w:val="both"/>
      </w:pPr>
      <w:r>
        <w:rPr>
          <w:rFonts w:ascii="Arial" w:cs="Arial" w:eastAsia="Arial" w:hAnsi="Arial"/>
          <w:sz w:val="22"/>
          <w:szCs w:val="22"/>
        </w:rPr>
        <w:t xml:space="preserve">The authorized signing key for a Notachain wallet is generated entirely offline, on an air-gapped device, and stored as a paper wallet or equivalent physical medium. The key never touches an internet-connected device.</w:t>
      </w:r>
    </w:p>
    <w:p>
      <w:pPr>
        <w:spacing w:before="80" w:after="160"/>
        <w:jc w:val="both"/>
      </w:pPr>
      <w:r>
        <w:rPr>
          <w:rFonts w:ascii="Arial" w:cs="Arial" w:eastAsia="Arial" w:hAnsi="Arial"/>
          <w:sz w:val="22"/>
          <w:szCs w:val="22"/>
        </w:rPr>
        <w:t xml:space="preserve">Transaction authorization flows as follows: the wallet owner signs a message offline using the air-gapped key, and the signed message is transported on-chain via an oracle layer (Chainlink or equivalent). The smart contract verifies the signature using ecrecover before executing any operation.</w:t>
      </w:r>
    </w:p>
    <w:p>
      <w:pPr>
        <w:spacing w:before="80" w:after="160"/>
        <w:jc w:val="both"/>
      </w:pPr>
      <w:r>
        <w:rPr>
          <w:rFonts w:ascii="Arial" w:cs="Arial" w:eastAsia="Arial" w:hAnsi="Arial"/>
          <w:sz w:val="22"/>
          <w:szCs w:val="22"/>
        </w:rPr>
        <w:t xml:space="preserve">The security model relocates the attack surface from cryptographic (software exploits, network attacks, clipboard hijacking) to physical (requiring an attacker to obtain a physically secured paper document). Humans have thousands of years of experience protecting physical objects. The average user has almost none protecting private keys on internet-connected devices.</w:t>
      </w:r>
    </w:p>
    <w:p>
      <w:pPr>
        <w:pStyle w:val="Heading3"/>
        <w:spacing w:before="240" w:after="120"/>
      </w:pPr>
      <w:r>
        <w:rPr>
          <w:rFonts w:ascii="Arial" w:cs="Arial" w:eastAsia="Arial" w:hAnsi="Arial"/>
          <w:b/>
          <w:bCs/>
          <w:color w:val="1A3A5C"/>
          <w:sz w:val="24"/>
          <w:szCs w:val="24"/>
        </w:rPr>
        <w:t xml:space="preserve">2.4.2 Behavioral Guardrails</w:t>
      </w:r>
    </w:p>
    <w:p>
      <w:pPr>
        <w:spacing w:before="80" w:after="160"/>
        <w:jc w:val="both"/>
      </w:pPr>
      <w:r>
        <w:rPr>
          <w:rFonts w:ascii="Arial" w:cs="Arial" w:eastAsia="Arial" w:hAnsi="Arial"/>
          <w:sz w:val="22"/>
          <w:szCs w:val="22"/>
        </w:rPr>
        <w:t xml:space="preserve">The smart contract wallet enforces configurable behavioral rules that intercept transactions matching suspicious patterns. Rules are defined by the wallet owner at deployment and can include:</w:t>
      </w:r>
    </w:p>
    <w:p>
      <w:pPr>
        <w:pStyle w:val="ListParagraph"/>
        <w:numPr>
          <w:ilvl w:val="0"/>
          <w:numId w:val="2"/>
        </w:numPr>
        <w:spacing w:before="60" w:after="60"/>
      </w:pPr>
      <w:r>
        <w:rPr>
          <w:rFonts w:ascii="Arial" w:cs="Arial" w:eastAsia="Arial" w:hAnsi="Arial"/>
          <w:sz w:val="22"/>
          <w:szCs w:val="22"/>
        </w:rPr>
        <w:t xml:space="preserve">Amount thresholds: flag or block transactions exceeding X% of total wallet value</w:t>
      </w:r>
    </w:p>
    <w:p>
      <w:pPr>
        <w:pStyle w:val="ListParagraph"/>
        <w:numPr>
          <w:ilvl w:val="0"/>
          <w:numId w:val="2"/>
        </w:numPr>
        <w:spacing w:before="60" w:after="60"/>
      </w:pPr>
      <w:r>
        <w:rPr>
          <w:rFonts w:ascii="Arial" w:cs="Arial" w:eastAsia="Arial" w:hAnsi="Arial"/>
          <w:sz w:val="22"/>
          <w:szCs w:val="22"/>
        </w:rPr>
        <w:t xml:space="preserve">Destination novelty: require additional confirmation for transfers to addresses with no prior interaction history</w:t>
      </w:r>
    </w:p>
    <w:p>
      <w:pPr>
        <w:pStyle w:val="ListParagraph"/>
        <w:numPr>
          <w:ilvl w:val="0"/>
          <w:numId w:val="2"/>
        </w:numPr>
        <w:spacing w:before="60" w:after="60"/>
      </w:pPr>
      <w:r>
        <w:rPr>
          <w:rFonts w:ascii="Arial" w:cs="Arial" w:eastAsia="Arial" w:hAnsi="Arial"/>
          <w:sz w:val="22"/>
          <w:szCs w:val="22"/>
        </w:rPr>
        <w:t xml:space="preserve">Velocity limits: block multiple high-value transactions within a defined time window</w:t>
      </w:r>
    </w:p>
    <w:p>
      <w:pPr>
        <w:spacing w:before="80" w:after="160"/>
        <w:jc w:val="both"/>
      </w:pPr>
      <w:r>
        <w:rPr>
          <w:rFonts w:ascii="Arial" w:cs="Arial" w:eastAsia="Arial" w:hAnsi="Arial"/>
          <w:sz w:val="22"/>
          <w:szCs w:val="22"/>
        </w:rPr>
        <w:t xml:space="preserve">When a transaction matches a configured rule, the wallet can be instructed to block execution and redirect funds to a pre-designated succession address. This is the dead man's switch pattern: rather than allowing a drain, the wallet routes assets to safety.</w:t>
      </w:r>
    </w:p>
    <w:p>
      <w:pPr>
        <w:pStyle w:val="Heading3"/>
        <w:spacing w:before="240" w:after="120"/>
      </w:pPr>
      <w:r>
        <w:rPr>
          <w:rFonts w:ascii="Arial" w:cs="Arial" w:eastAsia="Arial" w:hAnsi="Arial"/>
          <w:b/>
          <w:bCs/>
          <w:color w:val="1A3A5C"/>
          <w:sz w:val="24"/>
          <w:szCs w:val="24"/>
        </w:rPr>
        <w:t xml:space="preserve">2.4.3 Heartbeat Succession</w:t>
      </w:r>
    </w:p>
    <w:p>
      <w:pPr>
        <w:spacing w:before="80" w:after="160"/>
        <w:jc w:val="both"/>
      </w:pPr>
      <w:r>
        <w:rPr>
          <w:rFonts w:ascii="Arial" w:cs="Arial" w:eastAsia="Arial" w:hAnsi="Arial"/>
          <w:sz w:val="22"/>
          <w:szCs w:val="22"/>
        </w:rPr>
        <w:t xml:space="preserve">The wallet owner defines a heartbeat interval — a periodic proof-of-life signed by the air-gapped key and submitted on-chain. If the heartbeat lapses beyond a defined threshold (configurable: days, weeks, months), the wallet enters succession mode, transferring control and/or assets to a designated beneficiary address.</w:t>
      </w:r>
    </w:p>
    <w:p>
      <w:pPr>
        <w:spacing w:before="80" w:after="160"/>
        <w:jc w:val="both"/>
      </w:pPr>
      <w:r>
        <w:rPr>
          <w:rFonts w:ascii="Arial" w:cs="Arial" w:eastAsia="Arial" w:hAnsi="Arial"/>
          <w:sz w:val="22"/>
          <w:szCs w:val="22"/>
        </w:rPr>
        <w:t xml:space="preserve">This mechanism serves two functions: estate planning (ensuring assets are not permanently lost on the owner's death) and theft detection (an attacker who cannot produce the heartbeat signature cannot prevent succession, making the attack economically pointless).</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3. The Insurance Protocol</w:t>
      </w:r>
    </w:p>
    <w:p>
      <w:pPr>
        <w:pStyle w:val="Heading2"/>
        <w:spacing w:before="320" w:after="160"/>
      </w:pPr>
      <w:r>
        <w:rPr>
          <w:rFonts w:ascii="Arial" w:cs="Arial" w:eastAsia="Arial" w:hAnsi="Arial"/>
          <w:b/>
          <w:bCs/>
          <w:color w:val="2E75B6"/>
          <w:sz w:val="28"/>
          <w:szCs w:val="28"/>
        </w:rPr>
        <w:t xml:space="preserve">3.1 The Underwriting Problem, Solved</w:t>
      </w:r>
    </w:p>
    <w:p>
      <w:pPr>
        <w:spacing w:before="80" w:after="160"/>
        <w:jc w:val="both"/>
      </w:pPr>
      <w:r>
        <w:rPr>
          <w:rFonts w:ascii="Arial" w:cs="Arial" w:eastAsia="Arial" w:hAnsi="Arial"/>
          <w:sz w:val="22"/>
          <w:szCs w:val="22"/>
        </w:rPr>
        <w:t xml:space="preserve">Traditional crypto insurance underwriting fails because it cannot price anonymous risk. Notachain resolves this by separating two distinct data types:</w:t>
      </w:r>
    </w:p>
    <w:p>
      <w:pPr>
        <w:pStyle w:val="ListParagraph"/>
        <w:numPr>
          <w:ilvl w:val="0"/>
          <w:numId w:val="2"/>
        </w:numPr>
        <w:spacing w:before="60" w:after="60"/>
      </w:pPr>
      <w:r>
        <w:rPr>
          <w:rFonts w:ascii="Arial" w:cs="Arial" w:eastAsia="Arial" w:hAnsi="Arial"/>
          <w:sz w:val="22"/>
          <w:szCs w:val="22"/>
        </w:rPr>
        <w:t xml:space="preserve">On-chain behavioral history: transaction patterns, interaction history, approval records — perfectly transparent and immutable on the blockchain</w:t>
      </w:r>
    </w:p>
    <w:p>
      <w:pPr>
        <w:pStyle w:val="ListParagraph"/>
        <w:numPr>
          <w:ilvl w:val="0"/>
          <w:numId w:val="2"/>
        </w:numPr>
        <w:spacing w:before="60" w:after="60"/>
      </w:pPr>
      <w:r>
        <w:rPr>
          <w:rFonts w:ascii="Arial" w:cs="Arial" w:eastAsia="Arial" w:hAnsi="Arial"/>
          <w:sz w:val="22"/>
          <w:szCs w:val="22"/>
        </w:rPr>
        <w:t xml:space="preserve">Off-chain behavioral signals: browsing habits, security practices, hardware usage, prior claim history — private, but attestable by a licensed notary via ZK proof</w:t>
      </w:r>
    </w:p>
    <w:p>
      <w:pPr>
        <w:spacing w:before="80" w:after="160"/>
        <w:jc w:val="both"/>
      </w:pPr>
      <w:r>
        <w:rPr>
          <w:rFonts w:ascii="Arial" w:cs="Arial" w:eastAsia="Arial" w:hAnsi="Arial"/>
          <w:sz w:val="22"/>
          <w:szCs w:val="22"/>
        </w:rPr>
        <w:t xml:space="preserve">Combined, these two data sources provide a risk profile that is richer, more accurate, and more fraud-resistant than anything available to traditional insurers. The underwriter knows more about the actual risk, with less identity exposure, than any conventional KYC process would provide.</w:t>
      </w:r>
    </w:p>
    <w:p>
      <w:pPr>
        <w:pStyle w:val="Heading2"/>
        <w:spacing w:before="320" w:after="160"/>
      </w:pPr>
      <w:r>
        <w:rPr>
          <w:rFonts w:ascii="Arial" w:cs="Arial" w:eastAsia="Arial" w:hAnsi="Arial"/>
          <w:b/>
          <w:bCs/>
          <w:color w:val="2E75B6"/>
          <w:sz w:val="28"/>
          <w:szCs w:val="28"/>
        </w:rPr>
        <w:t xml:space="preserve">3.2 Risk Pricing Parameters</w:t>
      </w:r>
    </w:p>
    <w:p>
      <w:pPr>
        <w:spacing w:before="80" w:after="160"/>
        <w:jc w:val="both"/>
      </w:pPr>
      <w:r>
        <w:rPr>
          <w:rFonts w:ascii="Arial" w:cs="Arial" w:eastAsia="Arial" w:hAnsi="Arial"/>
          <w:sz w:val="22"/>
          <w:szCs w:val="22"/>
        </w:rPr>
        <w:t xml:space="preserve">A Notachain insurance premium is calculated against a composite risk score derived from:</w:t>
      </w:r>
    </w:p>
    <w:p>
      <w:pPr>
        <w:pStyle w:val="ListParagraph"/>
        <w:numPr>
          <w:ilvl w:val="0"/>
          <w:numId w:val="2"/>
        </w:numPr>
        <w:spacing w:before="60" w:after="60"/>
      </w:pPr>
      <w:r>
        <w:rPr>
          <w:rFonts w:ascii="Arial" w:cs="Arial" w:eastAsia="Arial" w:hAnsi="Arial"/>
          <w:sz w:val="22"/>
          <w:szCs w:val="22"/>
        </w:rPr>
        <w:t xml:space="preserve">Wallet architecture: is the wallet an EOA or a Notachain smart contract wallet with air-gapped signing?</w:t>
      </w:r>
    </w:p>
    <w:p>
      <w:pPr>
        <w:pStyle w:val="ListParagraph"/>
        <w:numPr>
          <w:ilvl w:val="0"/>
          <w:numId w:val="2"/>
        </w:numPr>
        <w:spacing w:before="60" w:after="60"/>
      </w:pPr>
      <w:r>
        <w:rPr>
          <w:rFonts w:ascii="Arial" w:cs="Arial" w:eastAsia="Arial" w:hAnsi="Arial"/>
          <w:sz w:val="22"/>
          <w:szCs w:val="22"/>
        </w:rPr>
        <w:t xml:space="preserve">Behavioral history: transaction patterns, frequency, counterparty diversity, prior approvals</w:t>
      </w:r>
    </w:p>
    <w:p>
      <w:pPr>
        <w:pStyle w:val="ListParagraph"/>
        <w:numPr>
          <w:ilvl w:val="0"/>
          <w:numId w:val="2"/>
        </w:numPr>
        <w:spacing w:before="60" w:after="60"/>
      </w:pPr>
      <w:r>
        <w:rPr>
          <w:rFonts w:ascii="Arial" w:cs="Arial" w:eastAsia="Arial" w:hAnsi="Arial"/>
          <w:sz w:val="22"/>
          <w:szCs w:val="22"/>
        </w:rPr>
        <w:t xml:space="preserve">Notary attestations: hardware wallet usage, clean claim history, security practice compliance</w:t>
      </w:r>
    </w:p>
    <w:p>
      <w:pPr>
        <w:pStyle w:val="ListParagraph"/>
        <w:numPr>
          <w:ilvl w:val="0"/>
          <w:numId w:val="2"/>
        </w:numPr>
        <w:spacing w:before="60" w:after="60"/>
      </w:pPr>
      <w:r>
        <w:rPr>
          <w:rFonts w:ascii="Arial" w:cs="Arial" w:eastAsia="Arial" w:hAnsi="Arial"/>
          <w:sz w:val="22"/>
          <w:szCs w:val="22"/>
        </w:rPr>
        <w:t xml:space="preserve">Heartbeat configuration: is succession configured? What is the interval?</w:t>
      </w:r>
    </w:p>
    <w:p>
      <w:pPr>
        <w:spacing w:before="80" w:after="160"/>
        <w:jc w:val="both"/>
      </w:pPr>
      <w:r>
        <w:rPr>
          <w:rFonts w:ascii="Arial" w:cs="Arial" w:eastAsia="Arial" w:hAnsi="Arial"/>
          <w:sz w:val="22"/>
          <w:szCs w:val="22"/>
        </w:rPr>
        <w:t xml:space="preserve">A wallet with optimal configuration across all parameters presents a fundamentally different risk profile from an unprotected hot wallet. Notachain pricing reflects this. The friction of security becomes a direct financial benefit.</w:t>
      </w:r>
    </w:p>
    <w:p>
      <w:pPr>
        <w:pStyle w:val="Heading2"/>
        <w:spacing w:before="320" w:after="160"/>
      </w:pPr>
      <w:r>
        <w:rPr>
          <w:rFonts w:ascii="Arial" w:cs="Arial" w:eastAsia="Arial" w:hAnsi="Arial"/>
          <w:b/>
          <w:bCs/>
          <w:color w:val="2E75B6"/>
          <w:sz w:val="28"/>
          <w:szCs w:val="28"/>
        </w:rPr>
        <w:t xml:space="preserve">3.3 Claims Adjudication</w:t>
      </w:r>
    </w:p>
    <w:p>
      <w:pPr>
        <w:spacing w:before="80" w:after="160"/>
        <w:jc w:val="both"/>
      </w:pPr>
      <w:r>
        <w:rPr>
          <w:rFonts w:ascii="Arial" w:cs="Arial" w:eastAsia="Arial" w:hAnsi="Arial"/>
          <w:sz w:val="22"/>
          <w:szCs w:val="22"/>
        </w:rPr>
        <w:t xml:space="preserve">On-chain transparency transforms claims from a contested, testimony-based process into a forensic, evidence-based one. When a wallet drain event occurs:</w:t>
      </w:r>
    </w:p>
    <w:p>
      <w:pPr>
        <w:pStyle w:val="ListParagraph"/>
        <w:numPr>
          <w:ilvl w:val="0"/>
          <w:numId w:val="2"/>
        </w:numPr>
        <w:spacing w:before="60" w:after="60"/>
      </w:pPr>
      <w:r>
        <w:rPr>
          <w:rFonts w:ascii="Arial" w:cs="Arial" w:eastAsia="Arial" w:hAnsi="Arial"/>
          <w:sz w:val="22"/>
          <w:szCs w:val="22"/>
        </w:rPr>
        <w:t xml:space="preserve">The drain transaction is permanently and immutably recorded on-chain</w:t>
      </w:r>
    </w:p>
    <w:p>
      <w:pPr>
        <w:pStyle w:val="ListParagraph"/>
        <w:numPr>
          <w:ilvl w:val="0"/>
          <w:numId w:val="2"/>
        </w:numPr>
        <w:spacing w:before="60" w:after="60"/>
      </w:pPr>
      <w:r>
        <w:rPr>
          <w:rFonts w:ascii="Arial" w:cs="Arial" w:eastAsia="Arial" w:hAnsi="Arial"/>
          <w:sz w:val="22"/>
          <w:szCs w:val="22"/>
        </w:rPr>
        <w:t xml:space="preserve">The full approval and interaction history preceding the drain is publicly readable</w:t>
      </w:r>
    </w:p>
    <w:p>
      <w:pPr>
        <w:pStyle w:val="ListParagraph"/>
        <w:numPr>
          <w:ilvl w:val="0"/>
          <w:numId w:val="2"/>
        </w:numPr>
        <w:spacing w:before="60" w:after="60"/>
      </w:pPr>
      <w:r>
        <w:rPr>
          <w:rFonts w:ascii="Arial" w:cs="Arial" w:eastAsia="Arial" w:hAnsi="Arial"/>
          <w:sz w:val="22"/>
          <w:szCs w:val="22"/>
        </w:rPr>
        <w:t xml:space="preserve">The destination address and subsequent movement of funds is traceable</w:t>
      </w:r>
    </w:p>
    <w:p>
      <w:pPr>
        <w:spacing w:before="80" w:after="160"/>
        <w:jc w:val="both"/>
      </w:pPr>
      <w:r>
        <w:rPr>
          <w:rFonts w:ascii="Arial" w:cs="Arial" w:eastAsia="Arial" w:hAnsi="Arial"/>
          <w:sz w:val="22"/>
          <w:szCs w:val="22"/>
        </w:rPr>
        <w:t xml:space="preserve">The primary claims fraud vector in traditional insurance — fabricating or misrepresenting events — is structurally eliminated. The blockchain does not lie. The event either occurred as described, or the ledger contradicts the claim.</w:t>
      </w:r>
    </w:p>
    <w:p>
      <w:pPr>
        <w:spacing w:before="80" w:after="160"/>
        <w:jc w:val="both"/>
      </w:pPr>
      <w:r>
        <w:rPr>
          <w:rFonts w:ascii="Arial" w:cs="Arial" w:eastAsia="Arial" w:hAnsi="Arial"/>
          <w:sz w:val="22"/>
          <w:szCs w:val="22"/>
        </w:rPr>
        <w:t xml:space="preserve">Remaining edge cases (self-drain fraud, collusion) are addressable through on-chain behavioral analysis of the wallet's history. A wallet with years of consistent, organic behavior that suddenly drains to a single novel address tells a different story than one that shows coordinated self-dealing. This analysis is objective, public, and auditable by all parties.</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4. Trust Model and Attack Surface Analysis</w:t>
      </w:r>
    </w:p>
    <w:p>
      <w:pPr>
        <w:pStyle w:val="Heading2"/>
        <w:spacing w:before="320" w:after="160"/>
      </w:pPr>
      <w:r>
        <w:rPr>
          <w:rFonts w:ascii="Arial" w:cs="Arial" w:eastAsia="Arial" w:hAnsi="Arial"/>
          <w:b/>
          <w:bCs/>
          <w:color w:val="2E75B6"/>
          <w:sz w:val="28"/>
          <w:szCs w:val="28"/>
        </w:rPr>
        <w:t xml:space="preserve">4.1 What Notachain Trusts</w:t>
      </w:r>
    </w:p>
    <w:p>
      <w:pPr>
        <w:spacing w:before="80" w:after="160"/>
        <w:jc w:val="both"/>
      </w:pPr>
      <w:r>
        <w:rPr>
          <w:rFonts w:ascii="Arial" w:cs="Arial" w:eastAsia="Arial" w:hAnsi="Arial"/>
          <w:sz w:val="22"/>
          <w:szCs w:val="22"/>
        </w:rPr>
        <w:t xml:space="preserve">No system is trustless. Notachain is explicit about its trust assumptions:</w:t>
      </w:r>
    </w:p>
    <w:p>
      <w:pPr>
        <w:pStyle w:val="ListParagraph"/>
        <w:numPr>
          <w:ilvl w:val="0"/>
          <w:numId w:val="2"/>
        </w:numPr>
        <w:spacing w:before="60" w:after="60"/>
      </w:pPr>
      <w:r>
        <w:rPr>
          <w:rFonts w:ascii="Arial" w:cs="Arial" w:eastAsia="Arial" w:hAnsi="Arial"/>
          <w:sz w:val="22"/>
          <w:szCs w:val="22"/>
        </w:rPr>
        <w:t xml:space="preserve">Cryptographic primitives: standard elliptic curve cryptography and ZK proof systems (well-established, independently audited)</w:t>
      </w:r>
    </w:p>
    <w:p>
      <w:pPr>
        <w:pStyle w:val="ListParagraph"/>
        <w:numPr>
          <w:ilvl w:val="0"/>
          <w:numId w:val="2"/>
        </w:numPr>
        <w:spacing w:before="60" w:after="60"/>
      </w:pPr>
      <w:r>
        <w:rPr>
          <w:rFonts w:ascii="Arial" w:cs="Arial" w:eastAsia="Arial" w:hAnsi="Arial"/>
          <w:sz w:val="22"/>
          <w:szCs w:val="22"/>
        </w:rPr>
        <w:t xml:space="preserve">Oracle liveness: Chainlink or equivalent oracle infrastructure must be operational for transaction signing</w:t>
      </w:r>
    </w:p>
    <w:p>
      <w:pPr>
        <w:pStyle w:val="ListParagraph"/>
        <w:numPr>
          <w:ilvl w:val="0"/>
          <w:numId w:val="2"/>
        </w:numPr>
        <w:spacing w:before="60" w:after="60"/>
      </w:pPr>
      <w:r>
        <w:rPr>
          <w:rFonts w:ascii="Arial" w:cs="Arial" w:eastAsia="Arial" w:hAnsi="Arial"/>
          <w:sz w:val="22"/>
          <w:szCs w:val="22"/>
        </w:rPr>
        <w:t xml:space="preserve">Notary honesty: notaries are trusted to attest accurately, backed by legal liability rather than cryptographic enforcement</w:t>
      </w:r>
    </w:p>
    <w:p>
      <w:pPr>
        <w:pStyle w:val="ListParagraph"/>
        <w:numPr>
          <w:ilvl w:val="0"/>
          <w:numId w:val="2"/>
        </w:numPr>
        <w:spacing w:before="60" w:after="60"/>
      </w:pPr>
      <w:r>
        <w:rPr>
          <w:rFonts w:ascii="Arial" w:cs="Arial" w:eastAsia="Arial" w:hAnsi="Arial"/>
          <w:sz w:val="22"/>
          <w:szCs w:val="22"/>
        </w:rPr>
        <w:t xml:space="preserve">Registry integrity: the on-chain registry must not be compromised at the smart contract level (mitigated by audit and immutability)</w:t>
      </w:r>
    </w:p>
    <w:p>
      <w:pPr>
        <w:pStyle w:val="Heading2"/>
        <w:spacing w:before="320" w:after="160"/>
      </w:pPr>
      <w:r>
        <w:rPr>
          <w:rFonts w:ascii="Arial" w:cs="Arial" w:eastAsia="Arial" w:hAnsi="Arial"/>
          <w:b/>
          <w:bCs/>
          <w:color w:val="2E75B6"/>
          <w:sz w:val="28"/>
          <w:szCs w:val="28"/>
        </w:rPr>
        <w:t xml:space="preserve">4.2 Attack Surface Comparison</w:t>
      </w:r>
    </w:p>
    <w:p>
      <w:pPr>
        <w:spacing w:before="80" w:after="160"/>
        <w:jc w:val="both"/>
      </w:pPr>
      <w:r>
        <w:rPr>
          <w:rFonts w:ascii="Arial" w:cs="Arial" w:eastAsia="Arial" w:hAnsi="Arial"/>
          <w:sz w:val="22"/>
          <w:szCs w:val="22"/>
        </w:rPr>
        <w:t xml:space="preserve">Compared to a standard EOA wallet, the Notachain wallet's attack surface is transformed:</w:t>
      </w:r>
    </w:p>
    <w:p>
      <w:pPr>
        <w:pStyle w:val="ListParagraph"/>
        <w:numPr>
          <w:ilvl w:val="0"/>
          <w:numId w:val="2"/>
        </w:numPr>
        <w:spacing w:before="60" w:after="60"/>
      </w:pPr>
      <w:r>
        <w:rPr>
          <w:rFonts w:ascii="Arial" w:cs="Arial" w:eastAsia="Arial" w:hAnsi="Arial"/>
          <w:sz w:val="22"/>
          <w:szCs w:val="22"/>
        </w:rPr>
        <w:t xml:space="preserve">EOA wallet: attacker requires private key (software attack surface, highly vulnerable to remote exploit)</w:t>
      </w:r>
    </w:p>
    <w:p>
      <w:pPr>
        <w:pStyle w:val="ListParagraph"/>
        <w:numPr>
          <w:ilvl w:val="0"/>
          <w:numId w:val="2"/>
        </w:numPr>
        <w:spacing w:before="60" w:after="60"/>
      </w:pPr>
      <w:r>
        <w:rPr>
          <w:rFonts w:ascii="Arial" w:cs="Arial" w:eastAsia="Arial" w:hAnsi="Arial"/>
          <w:sz w:val="22"/>
          <w:szCs w:val="22"/>
        </w:rPr>
        <w:t xml:space="preserve">Notachain wallet: attacker requires physical access to air-gapped signing material AND must evade behavioral guardrails AND must prevent heartbeat succession</w:t>
      </w:r>
    </w:p>
    <w:p>
      <w:pPr>
        <w:spacing w:before="80" w:after="160"/>
        <w:jc w:val="both"/>
      </w:pPr>
      <w:r>
        <w:rPr>
          <w:rFonts w:ascii="Arial" w:cs="Arial" w:eastAsia="Arial" w:hAnsi="Arial"/>
          <w:sz w:val="22"/>
          <w:szCs w:val="22"/>
        </w:rPr>
        <w:t xml:space="preserve">Each layer is independently necessary. Compromising one is insufficient. This is defense in depth — not as a design aspiration, but as a cryptographic and physical requirement.</w:t>
      </w:r>
    </w:p>
    <w:p>
      <w:pPr>
        <w:pStyle w:val="Heading2"/>
        <w:spacing w:before="320" w:after="160"/>
      </w:pPr>
      <w:r>
        <w:rPr>
          <w:rFonts w:ascii="Arial" w:cs="Arial" w:eastAsia="Arial" w:hAnsi="Arial"/>
          <w:b/>
          <w:bCs/>
          <w:color w:val="2E75B6"/>
          <w:sz w:val="28"/>
          <w:szCs w:val="28"/>
        </w:rPr>
        <w:t xml:space="preserve">4.3 Notary Registry Attack Vectors</w:t>
      </w:r>
    </w:p>
    <w:p>
      <w:pPr>
        <w:spacing w:before="80" w:after="160"/>
        <w:jc w:val="both"/>
      </w:pPr>
      <w:r>
        <w:rPr>
          <w:rFonts w:ascii="Arial" w:cs="Arial" w:eastAsia="Arial" w:hAnsi="Arial"/>
          <w:sz w:val="22"/>
          <w:szCs w:val="22"/>
        </w:rPr>
        <w:t xml:space="preserve">The primary registry attack scenarios are:</w:t>
      </w:r>
    </w:p>
    <w:p>
      <w:pPr>
        <w:pStyle w:val="ListParagraph"/>
        <w:numPr>
          <w:ilvl w:val="0"/>
          <w:numId w:val="2"/>
        </w:numPr>
        <w:spacing w:before="60" w:after="60"/>
      </w:pPr>
      <w:r>
        <w:rPr>
          <w:rFonts w:ascii="Arial" w:cs="Arial" w:eastAsia="Arial" w:hAnsi="Arial"/>
          <w:sz w:val="22"/>
          <w:szCs w:val="22"/>
        </w:rPr>
        <w:t xml:space="preserve">Fraudulent self-registration: an actor registers as a legal professional without valid credentials. Mitigated by: out-of-band verification availability; criminal liability for impersonating a licensed professional; insurance protocol's ability to require attestations from multiple independent participants</w:t>
      </w:r>
    </w:p>
    <w:p>
      <w:pPr>
        <w:pStyle w:val="ListParagraph"/>
        <w:numPr>
          <w:ilvl w:val="0"/>
          <w:numId w:val="2"/>
        </w:numPr>
        <w:spacing w:before="60" w:after="60"/>
      </w:pPr>
      <w:r>
        <w:rPr>
          <w:rFonts w:ascii="Arial" w:cs="Arial" w:eastAsia="Arial" w:hAnsi="Arial"/>
          <w:sz w:val="22"/>
          <w:szCs w:val="22"/>
        </w:rPr>
        <w:t xml:space="preserve">Participant key compromise: a registered participant's private key is stolen. Mitigated by: physical security of signing material; key rotation mechanism requiring in-person statutory declaration countersigned by licensing body; participant's ability to publish a revocation notice</w:t>
      </w:r>
    </w:p>
    <w:p>
      <w:pPr>
        <w:pStyle w:val="ListParagraph"/>
        <w:numPr>
          <w:ilvl w:val="0"/>
          <w:numId w:val="2"/>
        </w:numPr>
        <w:spacing w:before="60" w:after="60"/>
      </w:pPr>
      <w:r>
        <w:rPr>
          <w:rFonts w:ascii="Arial" w:cs="Arial" w:eastAsia="Arial" w:hAnsi="Arial"/>
          <w:sz w:val="22"/>
          <w:szCs w:val="22"/>
        </w:rPr>
        <w:t xml:space="preserve">Participant collusion with insured: a legal professional issues false attestations in exchange for compensation. Mitigated by: criminal fraud liability; professional disciplinary consequences; multi-participant attestation requirements for high-value policies; civil law notary consequences being categorically more severe given quasi-judicial status</w:t>
      </w:r>
    </w:p>
    <w:p>
      <w:pPr>
        <w:pStyle w:val="ListParagraph"/>
        <w:numPr>
          <w:ilvl w:val="0"/>
          <w:numId w:val="2"/>
        </w:numPr>
        <w:spacing w:before="60" w:after="60"/>
      </w:pPr>
      <w:r>
        <w:rPr>
          <w:rFonts w:ascii="Arial" w:cs="Arial" w:eastAsia="Arial" w:hAnsi="Arial"/>
          <w:sz w:val="22"/>
          <w:szCs w:val="22"/>
        </w:rPr>
        <w:t xml:space="preserve">Tier 1 registry manipulation: Notachain adds a fraudulent licensing body. Mitigated by: on-chain auditability of all Tier 1 changes; community ability to fork the registry; Tier 1 bodies being publicly verifiable real-world institutions that cannot be invented</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5. Open Problems and Future Work</w:t>
      </w:r>
    </w:p>
    <w:p>
      <w:pPr>
        <w:pStyle w:val="Heading2"/>
        <w:spacing w:before="320" w:after="160"/>
      </w:pPr>
      <w:r>
        <w:rPr>
          <w:rFonts w:ascii="Arial" w:cs="Arial" w:eastAsia="Arial" w:hAnsi="Arial"/>
          <w:b/>
          <w:bCs/>
          <w:color w:val="2E75B6"/>
          <w:sz w:val="28"/>
          <w:szCs w:val="28"/>
        </w:rPr>
        <w:t xml:space="preserve">5.1 Cross-Jurisdictional Claims</w:t>
      </w:r>
    </w:p>
    <w:p>
      <w:pPr>
        <w:spacing w:before="80" w:after="160"/>
        <w:jc w:val="both"/>
      </w:pPr>
      <w:r>
        <w:rPr>
          <w:rFonts w:ascii="Arial" w:cs="Arial" w:eastAsia="Arial" w:hAnsi="Arial"/>
          <w:sz w:val="22"/>
          <w:szCs w:val="22"/>
        </w:rPr>
        <w:t xml:space="preserve">Notary attestations are issued under the laws of a specific jurisdiction. When disputes arise involving parties in multiple jurisdictions, the applicable legal framework requires clarification. The working assumption is that jurisdiction follows the attestation instrument — the laws of the notary's jurisdiction govern their attestation — but this requires legal validation across target markets.</w:t>
      </w:r>
    </w:p>
    <w:p>
      <w:pPr>
        <w:pStyle w:val="Heading2"/>
        <w:spacing w:before="320" w:after="160"/>
      </w:pPr>
      <w:r>
        <w:rPr>
          <w:rFonts w:ascii="Arial" w:cs="Arial" w:eastAsia="Arial" w:hAnsi="Arial"/>
          <w:b/>
          <w:bCs/>
          <w:color w:val="2E75B6"/>
          <w:sz w:val="28"/>
          <w:szCs w:val="28"/>
        </w:rPr>
        <w:t xml:space="preserve">5.2 Oracle Reliability and Liveness</w:t>
      </w:r>
    </w:p>
    <w:p>
      <w:pPr>
        <w:spacing w:before="80" w:after="160"/>
        <w:jc w:val="both"/>
      </w:pPr>
      <w:r>
        <w:rPr>
          <w:rFonts w:ascii="Arial" w:cs="Arial" w:eastAsia="Arial" w:hAnsi="Arial"/>
          <w:sz w:val="22"/>
          <w:szCs w:val="22"/>
        </w:rPr>
        <w:t xml:space="preserve">The air-gapped signing oracle introduces an availability dependency. If the oracle layer is unavailable, legitimate transactions cannot be authorized. The protocol requires a robust fallback mechanism — potentially a time-locked emergency recovery path — that does not reintroduce the attack surface it was designed to eliminate.</w:t>
      </w:r>
    </w:p>
    <w:p>
      <w:pPr>
        <w:pStyle w:val="Heading2"/>
        <w:spacing w:before="320" w:after="160"/>
      </w:pPr>
      <w:r>
        <w:rPr>
          <w:rFonts w:ascii="Arial" w:cs="Arial" w:eastAsia="Arial" w:hAnsi="Arial"/>
          <w:b/>
          <w:bCs/>
          <w:color w:val="2E75B6"/>
          <w:sz w:val="28"/>
          <w:szCs w:val="28"/>
        </w:rPr>
        <w:t xml:space="preserve">5.3 UX and Adoption Friction</w:t>
      </w:r>
    </w:p>
    <w:p>
      <w:pPr>
        <w:spacing w:before="80" w:after="160"/>
        <w:jc w:val="both"/>
      </w:pPr>
      <w:r>
        <w:rPr>
          <w:rFonts w:ascii="Arial" w:cs="Arial" w:eastAsia="Arial" w:hAnsi="Arial"/>
          <w:sz w:val="22"/>
          <w:szCs w:val="22"/>
        </w:rPr>
        <w:t xml:space="preserve">The air-gapped signing model deliberately introduces transaction friction. This is a feature for vault-style storage, but a barrier for active use. The protocol envisions a two-wallet model — a Notachain vault for significant holdings and a conventional hot wallet for daily use — but the UX for managing this split requires careful product design.</w:t>
      </w:r>
    </w:p>
    <w:p>
      <w:pPr>
        <w:pStyle w:val="Heading2"/>
        <w:spacing w:before="320" w:after="160"/>
      </w:pPr>
      <w:r>
        <w:rPr>
          <w:rFonts w:ascii="Arial" w:cs="Arial" w:eastAsia="Arial" w:hAnsi="Arial"/>
          <w:b/>
          <w:bCs/>
          <w:color w:val="2E75B6"/>
          <w:sz w:val="28"/>
          <w:szCs w:val="28"/>
        </w:rPr>
        <w:t xml:space="preserve">5.4 Dynamic Risk Scoring</w:t>
      </w:r>
    </w:p>
    <w:p>
      <w:pPr>
        <w:spacing w:before="80" w:after="160"/>
        <w:jc w:val="both"/>
      </w:pPr>
      <w:r>
        <w:rPr>
          <w:rFonts w:ascii="Arial" w:cs="Arial" w:eastAsia="Arial" w:hAnsi="Arial"/>
          <w:sz w:val="22"/>
          <w:szCs w:val="22"/>
        </w:rPr>
        <w:t xml:space="preserve">Current attestations are point-in-time. A wallet holder's risk profile changes continuously as their behavior evolves. A mechanism for periodic attestation refresh — and for insurance premiums to adjust dynamically to updated risk scores — is a necessary development for a mature insurance product.</w:t>
      </w:r>
    </w:p>
    <w:p>
      <w:pPr>
        <w:pStyle w:val="Heading2"/>
        <w:spacing w:before="320" w:after="160"/>
      </w:pPr>
      <w:r>
        <w:rPr>
          <w:rFonts w:ascii="Arial" w:cs="Arial" w:eastAsia="Arial" w:hAnsi="Arial"/>
          <w:b/>
          <w:bCs/>
          <w:color w:val="2E75B6"/>
          <w:sz w:val="28"/>
          <w:szCs w:val="28"/>
        </w:rPr>
        <w:t xml:space="preserve">5.5 Regulatory Framework</w:t>
      </w:r>
    </w:p>
    <w:p>
      <w:pPr>
        <w:spacing w:before="80" w:after="160"/>
        <w:jc w:val="both"/>
      </w:pPr>
      <w:r>
        <w:rPr>
          <w:rFonts w:ascii="Arial" w:cs="Arial" w:eastAsia="Arial" w:hAnsi="Arial"/>
          <w:sz w:val="22"/>
          <w:szCs w:val="22"/>
        </w:rPr>
        <w:t xml:space="preserve">On-chain insurance products will require engagement with financial regulators in target jurisdictions. The legal classification of Notachain attestations, the licensing requirements for protocol-native insurance products, and the interaction between smart contract execution and insurance contract law are open questions requiring legal analysis and, ultimately, regulatory dialogue.</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6. Conclusion</w:t>
      </w:r>
    </w:p>
    <w:p>
      <w:pPr>
        <w:spacing w:before="80" w:after="160"/>
        <w:jc w:val="both"/>
      </w:pPr>
      <w:r>
        <w:rPr>
          <w:rFonts w:ascii="Arial" w:cs="Arial" w:eastAsia="Arial" w:hAnsi="Arial"/>
          <w:sz w:val="22"/>
          <w:szCs w:val="22"/>
        </w:rPr>
        <w:t xml:space="preserve">Notachain proposes a synthesis of two worlds that have, until now, operated in isolation: centuries-old legal institutional infrastructure and modern cryptographic trust systems. By anchoring on-chain attestations to credentialed legal professionals — from solicitors and barristers in common law jurisdictions to civil law notaries who function as private judges for non-contentious matters — the protocol creates a class of verifiable claims that neither cryptography alone nor legal process alone can produce.</w:t>
      </w:r>
    </w:p>
    <w:p>
      <w:pPr>
        <w:spacing w:before="80" w:after="160"/>
        <w:jc w:val="both"/>
      </w:pPr>
      <w:r>
        <w:rPr>
          <w:rFonts w:ascii="Arial" w:cs="Arial" w:eastAsia="Arial" w:hAnsi="Arial"/>
          <w:sz w:val="22"/>
          <w:szCs w:val="22"/>
        </w:rPr>
        <w:t xml:space="preserve">The civil law notariat, representing 70% of the global population through the UINL’s 92 member notariats, provides an immediate global foundation of private judicial authority. A French notaire’s attestation is not a professional declaration — it is a judicial act. Bringing that on-chain is not an incremental improvement to existing attestation systems. It is a qualitative leap.</w:t>
      </w:r>
    </w:p>
    <w:p>
      <w:pPr>
        <w:spacing w:before="80" w:after="160"/>
        <w:jc w:val="both"/>
      </w:pPr>
      <w:r>
        <w:rPr>
          <w:rFonts w:ascii="Arial" w:cs="Arial" w:eastAsia="Arial" w:hAnsi="Arial"/>
          <w:sz w:val="22"/>
          <w:szCs w:val="22"/>
        </w:rPr>
        <w:t xml:space="preserve">The immediate application is digital asset insurance. But the Notachain attestation layer is general-purpose. Any on-chain protocol that requires verified off-chain facts — creditworthiness, identity attributes, professional credentials, behavioral history — can consume Notachain attestations as a trust primitive.</w:t>
      </w:r>
    </w:p>
    <w:p>
      <w:pPr>
        <w:spacing w:before="80" w:after="160"/>
        <w:jc w:val="both"/>
      </w:pPr>
      <w:r>
        <w:rPr>
          <w:rFonts w:ascii="Arial" w:cs="Arial" w:eastAsia="Arial" w:hAnsi="Arial"/>
          <w:sz w:val="22"/>
          <w:szCs w:val="22"/>
        </w:rPr>
        <w:t xml:space="preserve">The insight at the core of Notachain is simple: blockchain does not hide. Every event is recorded. Every transaction is permanent. This transparency, combined with legally-anchored off-chain attestations carrying the weight of private judicial authority, and physically-secured signing architecture, creates a security and insurance model that is demonstrably more robust than anything currently available to crypto users — or, in several respects, to traditional financial system participants.</w:t>
      </w:r>
    </w:p>
    <w:p>
      <w:pPr>
        <w:spacing w:before="80" w:after="160"/>
        <w:jc w:val="both"/>
      </w:pPr>
      <w:r>
        <w:rPr>
          <w:rFonts w:ascii="Arial" w:cs="Arial" w:eastAsia="Arial" w:hAnsi="Arial"/>
          <w:sz w:val="22"/>
          <w:szCs w:val="22"/>
        </w:rPr>
        <w:t xml:space="preserve">Notachain is not a chain. It is the missing trust layer between the chain and the world.</w:t>
      </w:r>
    </w:p>
    <w:p>
      <w:pPr>
        <w:spacing w:before="0" w:after="160"/>
      </w:pPr>
      <w:r>
        <w:rPr>
          <w:sz w:val="22"/>
          <w:szCs w:val="22"/>
        </w:rPr>
        <w:t xml:space="preserve"/>
      </w:r>
    </w:p>
    <w:p>
      <w:pPr>
        <w:pBdr>
          <w:bottom w:val="single" w:color="CCCCCC" w:sz="2" w:space="1"/>
        </w:pBdr>
        <w:spacing w:before="160" w:after="160"/>
      </w:pPr>
      <w:r>
        <w:t xml:space="preserve"/>
      </w:r>
    </w:p>
    <w:p>
      <w:pPr>
        <w:spacing w:before="240" w:after="0"/>
        <w:jc w:val="center"/>
      </w:pPr>
      <w:r>
        <w:rPr>
          <w:rFonts w:ascii="Arial" w:cs="Arial" w:eastAsia="Arial" w:hAnsi="Arial"/>
          <w:i/>
          <w:iCs/>
          <w:color w:val="888888"/>
          <w:sz w:val="16"/>
          <w:szCs w:val="16"/>
        </w:rPr>
        <w:t xml:space="preserve">This document is a working draft for discussion purposes. Nothing herein constitutes financial, legal, or investment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Arial" w:cs="Arial" w:eastAsia="Arial" w:hAnsi="Arial"/>
        <w:color w:val="888888"/>
        <w:sz w:val="16"/>
        <w:szCs w:val="16"/>
      </w:rPr>
      <w:t xml:space="preserve">Confidential — Working Draft</w:t>
    </w:r>
    <w:r>
      <w:rPr>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0"/>
    </w:pPr>
    <w:r>
      <w:rPr>
        <w:rFonts w:ascii="Arial" w:cs="Arial" w:eastAsia="Arial" w:hAnsi="Arial"/>
        <w:b/>
        <w:bCs/>
        <w:color w:val="2E75B6"/>
        <w:sz w:val="18"/>
        <w:szCs w:val="18"/>
      </w:rPr>
      <w:t xml:space="preserve">NOTACHAIN PROTOCOL</w:t>
    </w:r>
    <w:r>
      <w:rPr>
        <w:sz w:val="18"/>
        <w:szCs w:val="18"/>
      </w:rPr>
      <w:t xml:space="preserve">	</w:t>
    </w:r>
    <w:r>
      <w:rPr>
        <w:rFonts w:ascii="Arial" w:cs="Arial" w:eastAsia="Arial" w:hAnsi="Arial"/>
        <w:color w:val="888888"/>
        <w:sz w:val="18"/>
        <w:szCs w:val="18"/>
      </w:rPr>
      <w:t xml:space="preserve">Working Paper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2026-03-27T07:21:56.119Z</dcterms:created>
  <dcterms:modified xsi:type="dcterms:W3CDTF">2026-03-27T07:21:56.120Z</dcterms:modified>
</cp:coreProperties>
</file>

<file path=docProps/custom.xml><?xml version="1.0" encoding="utf-8"?>
<Properties xmlns="http://schemas.openxmlformats.org/officeDocument/2006/custom-properties" xmlns:vt="http://schemas.openxmlformats.org/officeDocument/2006/docPropsVTypes"/>
</file>