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before="0"/>
        <w:jc w:val="left"/>
      </w:pPr>
      <w:r>
        <w:rPr>
          <w:rFonts w:ascii="Arial" w:cs="Arial" w:eastAsia="Arial" w:hAnsi="Arial"/>
          <w:b/>
          <w:bCs/>
          <w:i w:val="false"/>
          <w:iCs w:val="false"/>
          <w:color w:val="0A0A0A"/>
          <w:sz w:val="52"/>
          <w:szCs w:val="52"/>
        </w:rPr>
        <w:t xml:space="preserve">NOTACHAIN</w:t>
      </w:r>
    </w:p>
    <w:p>
      <w:pPr>
        <w:spacing w:after="200" w:before="0"/>
        <w:jc w:val="left"/>
      </w:pPr>
      <w:r>
        <w:rPr>
          <w:rFonts w:ascii="Arial" w:cs="Arial" w:eastAsia="Arial" w:hAnsi="Arial"/>
          <w:b w:val="false"/>
          <w:bCs w:val="false"/>
          <w:i w:val="false"/>
          <w:iCs w:val="false"/>
          <w:color w:val="6A6660"/>
          <w:sz w:val="36"/>
          <w:szCs w:val="36"/>
        </w:rPr>
        <w:t xml:space="preserve">$PRZ Token Paper</w:t>
      </w:r>
    </w:p>
    <w:p>
      <w:pPr>
        <w:spacing w:before="600"/>
      </w:pPr>
    </w:p>
    <w:p>
      <w:pPr>
        <w:spacing w:after="200" w:before="0"/>
        <w:jc w:val="left"/>
      </w:pPr>
      <w:r>
        <w:rPr>
          <w:rFonts w:ascii="Arial" w:cs="Arial" w:eastAsia="Arial" w:hAnsi="Arial"/>
          <w:b w:val="false"/>
          <w:bCs w:val="false"/>
          <w:i/>
          <w:iCs/>
          <w:color w:val="6A6660"/>
          <w:sz w:val="24"/>
          <w:szCs w:val="24"/>
        </w:rPr>
        <w:t xml:space="preserve">Token Economics, Supply Mechanics, Staking Architecture, and Read-Fee Model</w:t>
      </w:r>
    </w:p>
    <w:p>
      <w:pPr>
        <w:spacing w:before="1200"/>
      </w:pPr>
    </w:p>
    <w:p>
      <w:pPr>
        <w:spacing w:after="200" w:before="0"/>
        <w:jc w:val="left"/>
      </w:pPr>
      <w:r>
        <w:rPr>
          <w:rFonts w:ascii="Arial" w:cs="Arial" w:eastAsia="Arial" w:hAnsi="Arial"/>
          <w:b w:val="false"/>
          <w:bCs w:val="false"/>
          <w:i w:val="false"/>
          <w:iCs w:val="false"/>
          <w:color w:val="6A6660"/>
          <w:sz w:val="20"/>
          <w:szCs w:val="20"/>
        </w:rPr>
        <w:t xml:space="preserve">Working Paper v0.2 — Draft for Discussion</w:t>
      </w:r>
    </w:p>
    <w:p>
      <w:pPr>
        <w:spacing w:after="200" w:before="0"/>
        <w:jc w:val="left"/>
      </w:pPr>
      <w:r>
        <w:rPr>
          <w:rFonts w:ascii="Arial" w:cs="Arial" w:eastAsia="Arial" w:hAnsi="Arial"/>
          <w:b w:val="false"/>
          <w:bCs w:val="false"/>
          <w:i w:val="false"/>
          <w:iCs w:val="false"/>
          <w:color w:val="6A6660"/>
          <w:sz w:val="20"/>
          <w:szCs w:val="20"/>
        </w:rPr>
        <w:t xml:space="preserve">Companion Document to the Notachain Protocol Whitepaper</w:t>
      </w:r>
    </w:p>
    <w:p>
      <w:r>
        <w:br w:type="page"/>
      </w:r>
    </w:p>
    <w:p>
      <w:pPr>
        <w:pStyle w:val="Heading1"/>
        <w:spacing w:before="360" w:after="200"/>
      </w:pPr>
      <w:r>
        <w:rPr>
          <w:rFonts w:ascii="Arial" w:cs="Arial" w:eastAsia="Arial" w:hAnsi="Arial"/>
          <w:b/>
          <w:bCs/>
          <w:color w:val="0A0A0A"/>
          <w:sz w:val="36"/>
          <w:szCs w:val="36"/>
        </w:rPr>
        <w:t xml:space="preserve">1. Introduction</w:t>
      </w:r>
    </w:p>
    <w:p>
      <w:pPr>
        <w:spacing w:after="200" w:before="0"/>
        <w:jc w:val="left"/>
      </w:pPr>
      <w:r>
        <w:rPr>
          <w:rFonts w:ascii="Arial" w:cs="Arial" w:eastAsia="Arial" w:hAnsi="Arial"/>
          <w:b w:val="false"/>
          <w:bCs w:val="false"/>
          <w:i w:val="false"/>
          <w:iCs w:val="false"/>
          <w:color w:val="0A0A0A"/>
          <w:sz w:val="24"/>
          <w:szCs w:val="24"/>
        </w:rPr>
        <w:t xml:space="preserve">This document defines the economic model of the $PRZ token — the native token of the Notachain Protocol. It should be read alongside the Notachain Protocol Whitepaper, which defines the protocol’s architecture, trust model, and application layer.</w:t>
      </w:r>
    </w:p>
    <w:p>
      <w:pPr>
        <w:spacing w:after="200" w:before="0"/>
        <w:jc w:val="left"/>
      </w:pPr>
      <w:r>
        <w:rPr>
          <w:rFonts w:ascii="Arial" w:cs="Arial" w:eastAsia="Arial" w:hAnsi="Arial"/>
          <w:b w:val="false"/>
          <w:bCs w:val="false"/>
          <w:i w:val="false"/>
          <w:iCs w:val="false"/>
          <w:color w:val="0A0A0A"/>
          <w:sz w:val="24"/>
          <w:szCs w:val="24"/>
        </w:rPr>
        <w:t xml:space="preserve">The Notachain Protocol creates a trust layer between the blockchain and the real world by enabling credentialed legal professionals to attest off-chain facts on-chain. The $PRZ token exists to bootstrap this network, align incentives across participants, and create an immediate economic penalty for fraudulent attestation that complements the slower machinery of legal accountability.</w:t>
      </w:r>
    </w:p>
    <w:p>
      <w:pPr>
        <w:spacing w:after="200" w:before="0"/>
        <w:jc w:val="left"/>
      </w:pPr>
      <w:r>
        <w:rPr>
          <w:rFonts w:ascii="Arial" w:cs="Arial" w:eastAsia="Arial" w:hAnsi="Arial"/>
          <w:b w:val="false"/>
          <w:bCs w:val="false"/>
          <w:i w:val="false"/>
          <w:iCs w:val="false"/>
          <w:color w:val="0A0A0A"/>
          <w:sz w:val="24"/>
          <w:szCs w:val="24"/>
        </w:rPr>
        <w:t xml:space="preserve">This document covers four mechanisms: the schedule of release (how the fixed supply enters circulation), the emission and burn model (how supply adjusts dynamically in response to network activity), the staking architecture (how tokens create economic accountability for registered attestors), and the read-fee model (how attestation access generates revenue for wallet holders, attestors, and the protocol).</w:t>
      </w:r>
    </w:p>
    <w:p>
      <w:pPr>
        <w:pStyle w:val="Heading1"/>
        <w:spacing w:before="360" w:after="200"/>
      </w:pPr>
      <w:r>
        <w:rPr>
          <w:rFonts w:ascii="Arial" w:cs="Arial" w:eastAsia="Arial" w:hAnsi="Arial"/>
          <w:b/>
          <w:bCs/>
          <w:color w:val="0A0A0A"/>
          <w:sz w:val="36"/>
          <w:szCs w:val="36"/>
        </w:rPr>
        <w:t xml:space="preserve">2. Design Principles</w:t>
      </w:r>
    </w:p>
    <w:p>
      <w:pPr>
        <w:spacing w:after="200" w:before="0"/>
        <w:jc w:val="left"/>
      </w:pPr>
      <w:r>
        <w:rPr>
          <w:rFonts w:ascii="Arial" w:cs="Arial" w:eastAsia="Arial" w:hAnsi="Arial"/>
          <w:b w:val="false"/>
          <w:bCs w:val="false"/>
          <w:i w:val="false"/>
          <w:iCs w:val="false"/>
          <w:color w:val="0A0A0A"/>
          <w:sz w:val="24"/>
          <w:szCs w:val="24"/>
        </w:rPr>
        <w:t xml:space="preserve">The following principles govern every decision in this token model:</w:t>
      </w:r>
    </w:p>
    <w:p>
      <w:pPr>
        <w:pStyle w:val="ListParagraph"/>
        <w:numPr>
          <w:ilvl w:val="0"/>
          <w:numId w:val="2"/>
        </w:numPr>
        <w:spacing w:after="120"/>
      </w:pPr>
      <w:r>
        <w:rPr>
          <w:rFonts w:ascii="Arial" w:cs="Arial" w:eastAsia="Arial" w:hAnsi="Arial"/>
          <w:b/>
          <w:bCs/>
          <w:color w:val="0A0A0A"/>
          <w:sz w:val="24"/>
          <w:szCs w:val="24"/>
        </w:rPr>
        <w:t xml:space="preserve">The protocol incentivises participation, not idleness. </w:t>
      </w:r>
      <w:r>
        <w:rPr>
          <w:rFonts w:ascii="Arial" w:cs="Arial" w:eastAsia="Arial" w:hAnsi="Arial"/>
          <w:color w:val="0A0A0A"/>
          <w:sz w:val="24"/>
          <w:szCs w:val="24"/>
        </w:rPr>
        <w:t xml:space="preserve">Token emissions flow to participants who create value for the network — primarily attestors who register and actively sign attestations.</w:t>
      </w:r>
    </w:p>
    <w:p>
      <w:pPr>
        <w:pStyle w:val="ListParagraph"/>
        <w:numPr>
          <w:ilvl w:val="0"/>
          <w:numId w:val="2"/>
        </w:numPr>
        <w:spacing w:after="120"/>
      </w:pPr>
      <w:r>
        <w:rPr>
          <w:rFonts w:ascii="Arial" w:cs="Arial" w:eastAsia="Arial" w:hAnsi="Arial"/>
          <w:b/>
          <w:bCs/>
          <w:color w:val="0A0A0A"/>
          <w:sz w:val="24"/>
          <w:szCs w:val="24"/>
        </w:rPr>
        <w:t xml:space="preserve">Supply mechanics are algorithmic and verifiable. </w:t>
      </w:r>
      <w:r>
        <w:rPr>
          <w:rFonts w:ascii="Arial" w:cs="Arial" w:eastAsia="Arial" w:hAnsi="Arial"/>
          <w:color w:val="0A0A0A"/>
          <w:sz w:val="24"/>
          <w:szCs w:val="24"/>
        </w:rPr>
        <w:t xml:space="preserve">Emission and burn rates are determined on-chain by network activity. No human intervention is required for the mechanism to operate.</w:t>
      </w:r>
    </w:p>
    <w:p>
      <w:pPr>
        <w:pStyle w:val="ListParagraph"/>
        <w:numPr>
          <w:ilvl w:val="0"/>
          <w:numId w:val="2"/>
        </w:numPr>
        <w:spacing w:after="120"/>
      </w:pPr>
      <w:r>
        <w:rPr>
          <w:rFonts w:ascii="Arial" w:cs="Arial" w:eastAsia="Arial" w:hAnsi="Arial"/>
          <w:b/>
          <w:bCs/>
          <w:color w:val="0A0A0A"/>
          <w:sz w:val="24"/>
          <w:szCs w:val="24"/>
        </w:rPr>
        <w:t xml:space="preserve">The mechanism is self-correcting. </w:t>
      </w:r>
      <w:r>
        <w:rPr>
          <w:rFonts w:ascii="Arial" w:cs="Arial" w:eastAsia="Arial" w:hAnsi="Arial"/>
          <w:color w:val="0A0A0A"/>
          <w:sz w:val="24"/>
          <w:szCs w:val="24"/>
        </w:rPr>
        <w:t xml:space="preserve">Low activity triggers higher emissions to stimulate growth. High activity triggers lower emissions and increased burns to reward holders.</w:t>
      </w:r>
    </w:p>
    <w:p>
      <w:pPr>
        <w:pStyle w:val="ListParagraph"/>
        <w:numPr>
          <w:ilvl w:val="0"/>
          <w:numId w:val="2"/>
        </w:numPr>
        <w:spacing w:after="120"/>
      </w:pPr>
      <w:r>
        <w:rPr>
          <w:rFonts w:ascii="Arial" w:cs="Arial" w:eastAsia="Arial" w:hAnsi="Arial"/>
          <w:b/>
          <w:bCs/>
          <w:color w:val="0A0A0A"/>
          <w:sz w:val="24"/>
          <w:szCs w:val="24"/>
        </w:rPr>
        <w:t xml:space="preserve">Treasury releases are accountable. </w:t>
      </w:r>
      <w:r>
        <w:rPr>
          <w:rFonts w:ascii="Arial" w:cs="Arial" w:eastAsia="Arial" w:hAnsi="Arial"/>
          <w:color w:val="0A0A0A"/>
          <w:sz w:val="24"/>
          <w:szCs w:val="24"/>
        </w:rPr>
        <w:t xml:space="preserve">Every action against the treasury is published with a reason, hashed on-chain, and emitted as a public event. No silent releases. No hidden movements.</w:t>
      </w:r>
    </w:p>
    <w:p>
      <w:pPr>
        <w:pStyle w:val="ListParagraph"/>
        <w:numPr>
          <w:ilvl w:val="0"/>
          <w:numId w:val="2"/>
        </w:numPr>
        <w:spacing w:after="120"/>
      </w:pPr>
      <w:r>
        <w:rPr>
          <w:rFonts w:ascii="Arial" w:cs="Arial" w:eastAsia="Arial" w:hAnsi="Arial"/>
          <w:b/>
          <w:bCs/>
          <w:color w:val="0A0A0A"/>
          <w:sz w:val="24"/>
          <w:szCs w:val="24"/>
        </w:rPr>
        <w:t xml:space="preserve">Staking creates instant consequences. </w:t>
      </w:r>
      <w:r>
        <w:rPr>
          <w:rFonts w:ascii="Arial" w:cs="Arial" w:eastAsia="Arial" w:hAnsi="Arial"/>
          <w:color w:val="0A0A0A"/>
          <w:sz w:val="24"/>
          <w:szCs w:val="24"/>
        </w:rPr>
        <w:t xml:space="preserve">Legal liability is the ultimate deterrent, but it operates on a timescale of months to years. Staking creates an immediate economic penalty that fires within seconds of a slashing event.</w:t>
      </w:r>
    </w:p>
    <w:p>
      <w:pPr>
        <w:pStyle w:val="ListParagraph"/>
        <w:numPr>
          <w:ilvl w:val="0"/>
          <w:numId w:val="2"/>
        </w:numPr>
        <w:spacing w:after="120"/>
      </w:pPr>
      <w:r>
        <w:rPr>
          <w:rFonts w:ascii="Arial" w:cs="Arial" w:eastAsia="Arial" w:hAnsi="Arial"/>
          <w:b/>
          <w:bCs/>
          <w:color w:val="0A0A0A"/>
          <w:sz w:val="24"/>
          <w:szCs w:val="24"/>
        </w:rPr>
        <w:t xml:space="preserve">Attestations are revenue-generating assets. </w:t>
      </w:r>
      <w:r>
        <w:rPr>
          <w:rFonts w:ascii="Arial" w:cs="Arial" w:eastAsia="Arial" w:hAnsi="Arial"/>
          <w:color w:val="0A0A0A"/>
          <w:sz w:val="24"/>
          <w:szCs w:val="24"/>
        </w:rPr>
        <w:t xml:space="preserve">Wallet holders who notarise facts about themselves earn $PRZ every time a protocol reads their attestation. The read fee aligns incentives, funds the ecosystem, and simultaneously serves as a privacy protection mechanism.</w:t>
      </w:r>
    </w:p>
    <w:p>
      <w:pPr>
        <w:pStyle w:val="ListParagraph"/>
        <w:numPr>
          <w:ilvl w:val="0"/>
          <w:numId w:val="2"/>
        </w:numPr>
        <w:spacing w:after="200"/>
      </w:pPr>
      <w:r>
        <w:rPr>
          <w:rFonts w:ascii="Arial" w:cs="Arial" w:eastAsia="Arial" w:hAnsi="Arial"/>
          <w:b/>
          <w:bCs/>
          <w:color w:val="0A0A0A"/>
          <w:sz w:val="24"/>
          <w:szCs w:val="24"/>
        </w:rPr>
        <w:t xml:space="preserve">All parameters are published and auditable. </w:t>
      </w:r>
      <w:r>
        <w:rPr>
          <w:rFonts w:ascii="Arial" w:cs="Arial" w:eastAsia="Arial" w:hAnsi="Arial"/>
          <w:color w:val="0A0A0A"/>
          <w:sz w:val="24"/>
          <w:szCs w:val="24"/>
        </w:rPr>
        <w:t xml:space="preserve">Curve parameters, treasury caps, staking thresholds, and fee structures are on-chain. All participants can see the rules and predict the outcomes.</w:t>
      </w:r>
    </w:p>
    <w:p>
      <w:pPr>
        <w:pStyle w:val="Heading1"/>
        <w:spacing w:before="360" w:after="200"/>
      </w:pPr>
      <w:r>
        <w:rPr>
          <w:rFonts w:ascii="Arial" w:cs="Arial" w:eastAsia="Arial" w:hAnsi="Arial"/>
          <w:b/>
          <w:bCs/>
          <w:color w:val="0A0A0A"/>
          <w:sz w:val="36"/>
          <w:szCs w:val="36"/>
        </w:rPr>
        <w:t xml:space="preserve">3. Token Overview</w:t>
      </w:r>
    </w:p>
    <w:p>
      <w:pPr>
        <w:spacing w:after="200" w:before="0"/>
        <w:jc w:val="left"/>
      </w:pPr>
      <w:r>
        <w:rPr>
          <w:rFonts w:ascii="Arial" w:cs="Arial" w:eastAsia="Arial" w:hAnsi="Arial"/>
          <w:b w:val="false"/>
          <w:bCs w:val="false"/>
          <w:i w:val="false"/>
          <w:iCs w:val="false"/>
          <w:color w:val="0A0A0A"/>
          <w:sz w:val="24"/>
          <w:szCs w:val="24"/>
        </w:rPr>
        <w:t xml:space="preserve">The $PRZ token is the native token of the Notachain Protocol, deployed on an EVM-compatible chain as a standard ERC-20 token.</w:t>
      </w:r>
    </w:p>
    <w:p>
      <w:pPr>
        <w:pStyle w:val="Heading2"/>
        <w:spacing w:before="280" w:after="200"/>
      </w:pPr>
      <w:r>
        <w:rPr>
          <w:rFonts w:ascii="Arial" w:cs="Arial" w:eastAsia="Arial" w:hAnsi="Arial"/>
          <w:b/>
          <w:bCs/>
          <w:color w:val="0A0A0A"/>
          <w:sz w:val="30"/>
          <w:szCs w:val="30"/>
        </w:rPr>
        <w:t xml:space="preserve">3.1 Core Function</w:t>
      </w:r>
    </w:p>
    <w:p>
      <w:pPr>
        <w:spacing w:after="200" w:before="0"/>
        <w:jc w:val="left"/>
      </w:pPr>
      <w:r>
        <w:rPr>
          <w:rFonts w:ascii="Arial" w:cs="Arial" w:eastAsia="Arial" w:hAnsi="Arial"/>
          <w:b w:val="false"/>
          <w:bCs w:val="false"/>
          <w:i w:val="false"/>
          <w:iCs w:val="false"/>
          <w:color w:val="0A0A0A"/>
          <w:sz w:val="24"/>
          <w:szCs w:val="24"/>
        </w:rPr>
        <w:t xml:space="preserve">The token serves four functions within the protocol:</w:t>
      </w:r>
    </w:p>
    <w:p>
      <w:pPr>
        <w:pStyle w:val="ListParagraph"/>
        <w:numPr>
          <w:ilvl w:val="0"/>
          <w:numId w:val="3"/>
        </w:numPr>
        <w:spacing w:after="120"/>
      </w:pPr>
      <w:r>
        <w:rPr>
          <w:rFonts w:ascii="Arial" w:cs="Arial" w:eastAsia="Arial" w:hAnsi="Arial"/>
          <w:b/>
          <w:bCs/>
          <w:color w:val="0A0A0A"/>
          <w:sz w:val="24"/>
          <w:szCs w:val="24"/>
        </w:rPr>
        <w:t xml:space="preserve">Staking and accountability. </w:t>
      </w:r>
      <w:r>
        <w:rPr>
          <w:rFonts w:ascii="Arial" w:cs="Arial" w:eastAsia="Arial" w:hAnsi="Arial"/>
          <w:color w:val="0A0A0A"/>
          <w:sz w:val="24"/>
          <w:szCs w:val="24"/>
        </w:rPr>
        <w:t xml:space="preserve">Registered attestors stake $PRZ against their registration. The stake is slashable in the event of proven fraudulent attestation, creating an instant economic penalty.</w:t>
      </w:r>
    </w:p>
    <w:p>
      <w:pPr>
        <w:pStyle w:val="ListParagraph"/>
        <w:numPr>
          <w:ilvl w:val="0"/>
          <w:numId w:val="3"/>
        </w:numPr>
        <w:spacing w:after="120"/>
      </w:pPr>
      <w:r>
        <w:rPr>
          <w:rFonts w:ascii="Arial" w:cs="Arial" w:eastAsia="Arial" w:hAnsi="Arial"/>
          <w:b/>
          <w:bCs/>
          <w:color w:val="0A0A0A"/>
          <w:sz w:val="24"/>
          <w:szCs w:val="24"/>
        </w:rPr>
        <w:t xml:space="preserve">Network bootstrapping. </w:t>
      </w:r>
      <w:r>
        <w:rPr>
          <w:rFonts w:ascii="Arial" w:cs="Arial" w:eastAsia="Arial" w:hAnsi="Arial"/>
          <w:color w:val="0A0A0A"/>
          <w:sz w:val="24"/>
          <w:szCs w:val="24"/>
        </w:rPr>
        <w:t xml:space="preserve">Grants denominated in $PRZ incentivise early registration of legal professionals and licensing bodies, solving the cold start problem.</w:t>
      </w:r>
    </w:p>
    <w:p>
      <w:pPr>
        <w:pStyle w:val="ListParagraph"/>
        <w:numPr>
          <w:ilvl w:val="0"/>
          <w:numId w:val="3"/>
        </w:numPr>
        <w:spacing w:after="120"/>
      </w:pPr>
      <w:r>
        <w:rPr>
          <w:rFonts w:ascii="Arial" w:cs="Arial" w:eastAsia="Arial" w:hAnsi="Arial"/>
          <w:b/>
          <w:bCs/>
          <w:color w:val="0A0A0A"/>
          <w:sz w:val="24"/>
          <w:szCs w:val="24"/>
        </w:rPr>
        <w:t xml:space="preserve">Fee medium and burn mechanism. </w:t>
      </w:r>
      <w:r>
        <w:rPr>
          <w:rFonts w:ascii="Arial" w:cs="Arial" w:eastAsia="Arial" w:hAnsi="Arial"/>
          <w:color w:val="0A0A0A"/>
          <w:sz w:val="24"/>
          <w:szCs w:val="24"/>
        </w:rPr>
        <w:t xml:space="preserve">Attestation creation fees and attestation read fees are collected in $PRZ. A portion of each fee is permanently burned, creating deflationary pressure proportional to network usage.</w:t>
      </w:r>
    </w:p>
    <w:p>
      <w:pPr>
        <w:pStyle w:val="ListParagraph"/>
        <w:numPr>
          <w:ilvl w:val="0"/>
          <w:numId w:val="3"/>
        </w:numPr>
        <w:spacing w:after="200"/>
      </w:pPr>
      <w:r>
        <w:rPr>
          <w:rFonts w:ascii="Arial" w:cs="Arial" w:eastAsia="Arial" w:hAnsi="Arial"/>
          <w:b/>
          <w:bCs/>
          <w:color w:val="0A0A0A"/>
          <w:sz w:val="24"/>
          <w:szCs w:val="24"/>
        </w:rPr>
        <w:t xml:space="preserve">Read-fee settlement. </w:t>
      </w:r>
      <w:r>
        <w:rPr>
          <w:rFonts w:ascii="Arial" w:cs="Arial" w:eastAsia="Arial" w:hAnsi="Arial"/>
          <w:color w:val="0A0A0A"/>
          <w:sz w:val="24"/>
          <w:szCs w:val="24"/>
        </w:rPr>
        <w:t xml:space="preserve">$PRZ is the medium through which protocols pay to access attestation data, and through which wallet holders and attestors receive their share of read revenue.</w:t>
      </w:r>
    </w:p>
    <w:p>
      <w:pPr>
        <w:pStyle w:val="Heading2"/>
        <w:spacing w:before="280" w:after="200"/>
      </w:pPr>
      <w:r>
        <w:rPr>
          <w:rFonts w:ascii="Arial" w:cs="Arial" w:eastAsia="Arial" w:hAnsi="Arial"/>
          <w:b/>
          <w:bCs/>
          <w:color w:val="0A0A0A"/>
          <w:sz w:val="30"/>
          <w:szCs w:val="30"/>
        </w:rPr>
        <w:t xml:space="preserve">3.2 What the Token Is Not</w:t>
      </w:r>
    </w:p>
    <w:p>
      <w:pPr>
        <w:spacing w:after="200" w:before="0"/>
        <w:jc w:val="left"/>
      </w:pPr>
      <w:r>
        <w:rPr>
          <w:rFonts w:ascii="Arial" w:cs="Arial" w:eastAsia="Arial" w:hAnsi="Arial"/>
          <w:b w:val="false"/>
          <w:bCs w:val="false"/>
          <w:i w:val="false"/>
          <w:iCs w:val="false"/>
          <w:color w:val="0A0A0A"/>
          <w:sz w:val="24"/>
          <w:szCs w:val="24"/>
        </w:rPr>
        <w:t xml:space="preserve">$PRZ is not a governance token in the conventional sense. The Tier 1 licensing body registry — the root of trust — is maintained by the Notachain Protocol company based on publicly verifiable institutional credentials. It is not subject to token-weighted voting. This is a deliberate design choice: the integrity of the trust layer cannot be made contingent on token holder preferences.</w:t>
      </w:r>
    </w:p>
    <w:p>
      <w:pPr>
        <w:pStyle w:val="Heading1"/>
        <w:spacing w:before="360" w:after="200"/>
      </w:pPr>
      <w:r>
        <w:rPr>
          <w:rFonts w:ascii="Arial" w:cs="Arial" w:eastAsia="Arial" w:hAnsi="Arial"/>
          <w:b/>
          <w:bCs/>
          <w:color w:val="0A0A0A"/>
          <w:sz w:val="36"/>
          <w:szCs w:val="36"/>
        </w:rPr>
        <w:t xml:space="preserve">4. Token Allocation and Schedule of Release</w:t>
      </w:r>
    </w:p>
    <w:p>
      <w:pPr>
        <w:pStyle w:val="Heading2"/>
        <w:spacing w:before="280" w:after="200"/>
      </w:pPr>
      <w:r>
        <w:rPr>
          <w:rFonts w:ascii="Arial" w:cs="Arial" w:eastAsia="Arial" w:hAnsi="Arial"/>
          <w:b/>
          <w:bCs/>
          <w:color w:val="0A0A0A"/>
          <w:sz w:val="30"/>
          <w:szCs w:val="30"/>
        </w:rPr>
        <w:t xml:space="preserve">4.1 Allocation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12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5326"/>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Attestor Grants</w:t>
            </w:r>
          </w:p>
        </w:tc>
        <w:tc>
          <w:tcPr>
            <w:tcW w:type="dxa" w:w="1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40%</w:t>
            </w:r>
          </w:p>
        </w:tc>
        <w:tc>
          <w:tcPr>
            <w:tcW w:type="dxa" w:w="53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Grants to legal professionals and licensing bodies who register on the Notachain registry. Distributed on registration milestones.</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Staking Reserves</w:t>
            </w:r>
          </w:p>
        </w:tc>
        <w:tc>
          <w:tcPr>
            <w:tcW w:type="dxa" w:w="1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20%</w:t>
            </w:r>
          </w:p>
        </w:tc>
        <w:tc>
          <w:tcPr>
            <w:tcW w:type="dxa" w:w="53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Tokens available to fund initial staking requirements for early attestors who receive grants rather than purchasing tokens.</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Insurance Pool Seed</w:t>
            </w:r>
          </w:p>
        </w:tc>
        <w:tc>
          <w:tcPr>
            <w:tcW w:type="dxa" w:w="1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10%</w:t>
            </w:r>
          </w:p>
        </w:tc>
        <w:tc>
          <w:tcPr>
            <w:tcW w:type="dxa" w:w="53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Seed capital for the first insurance product built on Notachain attestations.</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Market Launch</w:t>
            </w:r>
          </w:p>
        </w:tc>
        <w:tc>
          <w:tcPr>
            <w:tcW w:type="dxa" w:w="1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10%</w:t>
            </w:r>
          </w:p>
        </w:tc>
        <w:tc>
          <w:tcPr>
            <w:tcW w:type="dxa" w:w="53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Initial liquidity pool pairing and exchange listings.</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Team Vesting</w:t>
            </w:r>
          </w:p>
        </w:tc>
        <w:tc>
          <w:tcPr>
            <w:tcW w:type="dxa" w:w="1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10%</w:t>
            </w:r>
          </w:p>
        </w:tc>
        <w:tc>
          <w:tcPr>
            <w:tcW w:type="dxa" w:w="53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Core team allocation. Quarterly vesting over two years.</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Operational Budget</w:t>
            </w:r>
          </w:p>
        </w:tc>
        <w:tc>
          <w:tcPr>
            <w:tcW w:type="dxa" w:w="1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5%</w:t>
            </w:r>
          </w:p>
        </w:tc>
        <w:tc>
          <w:tcPr>
            <w:tcW w:type="dxa" w:w="53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Marketing, legal, infrastructure, partnerships. Quarterly budget with unspent tokens reverting.</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Unallocated Treasury</w:t>
            </w:r>
          </w:p>
        </w:tc>
        <w:tc>
          <w:tcPr>
            <w:tcW w:type="dxa" w:w="1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5%</w:t>
            </w:r>
          </w:p>
        </w:tc>
        <w:tc>
          <w:tcPr>
            <w:tcW w:type="dxa" w:w="53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Reserved for future needs. Requires standard authorisation process for any release.</w:t>
            </w:r>
          </w:p>
        </w:tc>
      </w:tr>
    </w:tbl>
    <w:p>
      <w:pPr>
        <w:pStyle w:val="Heading2"/>
        <w:spacing w:before="280" w:after="200"/>
      </w:pPr>
      <w:r>
        <w:rPr>
          <w:rFonts w:ascii="Arial" w:cs="Arial" w:eastAsia="Arial" w:hAnsi="Arial"/>
          <w:b/>
          <w:bCs/>
          <w:color w:val="0A0A0A"/>
          <w:sz w:val="30"/>
          <w:szCs w:val="30"/>
        </w:rPr>
        <w:t xml:space="preserve">4.2 Treasury Governance</w:t>
      </w:r>
    </w:p>
    <w:p>
      <w:pPr>
        <w:spacing w:after="200" w:before="0"/>
        <w:jc w:val="left"/>
      </w:pPr>
      <w:r>
        <w:rPr>
          <w:rFonts w:ascii="Arial" w:cs="Arial" w:eastAsia="Arial" w:hAnsi="Arial"/>
          <w:b w:val="false"/>
          <w:bCs w:val="false"/>
          <w:i w:val="false"/>
          <w:iCs w:val="false"/>
          <w:color w:val="0A0A0A"/>
          <w:sz w:val="24"/>
          <w:szCs w:val="24"/>
        </w:rPr>
        <w:t xml:space="preserve">Every action against the treasury — whether an authorisation, movement, revocation, or cap adjustment — follows the standard authorisation process:</w:t>
      </w:r>
    </w:p>
    <w:p>
      <w:pPr>
        <w:pStyle w:val="ListParagraph"/>
        <w:numPr>
          <w:ilvl w:val="0"/>
          <w:numId w:val="3"/>
        </w:numPr>
        <w:spacing w:after="120"/>
      </w:pPr>
      <w:r>
        <w:rPr>
          <w:rFonts w:ascii="Arial" w:cs="Arial" w:eastAsia="Arial" w:hAnsi="Arial"/>
          <w:color w:val="0A0A0A"/>
          <w:sz w:val="24"/>
          <w:szCs w:val="24"/>
        </w:rPr>
        <w:t xml:space="preserve">A reason is published.</w:t>
      </w:r>
    </w:p>
    <w:p>
      <w:pPr>
        <w:pStyle w:val="ListParagraph"/>
        <w:numPr>
          <w:ilvl w:val="0"/>
          <w:numId w:val="3"/>
        </w:numPr>
        <w:spacing w:after="120"/>
      </w:pPr>
      <w:r>
        <w:rPr>
          <w:rFonts w:ascii="Arial" w:cs="Arial" w:eastAsia="Arial" w:hAnsi="Arial"/>
          <w:color w:val="0A0A0A"/>
          <w:sz w:val="24"/>
          <w:szCs w:val="24"/>
        </w:rPr>
        <w:t xml:space="preserve">A hash of the reason is recorded on-chain.</w:t>
      </w:r>
    </w:p>
    <w:p>
      <w:pPr>
        <w:pStyle w:val="ListParagraph"/>
        <w:numPr>
          <w:ilvl w:val="0"/>
          <w:numId w:val="3"/>
        </w:numPr>
        <w:spacing w:after="200"/>
      </w:pPr>
      <w:r>
        <w:rPr>
          <w:rFonts w:ascii="Arial" w:cs="Arial" w:eastAsia="Arial" w:hAnsi="Arial"/>
          <w:color w:val="0A0A0A"/>
          <w:sz w:val="24"/>
          <w:szCs w:val="24"/>
        </w:rPr>
        <w:t xml:space="preserve">A public event is emitted.</w:t>
      </w:r>
    </w:p>
    <w:p>
      <w:pPr>
        <w:spacing w:after="200" w:before="0"/>
        <w:jc w:val="left"/>
      </w:pPr>
      <w:r>
        <w:rPr>
          <w:rFonts w:ascii="Arial" w:cs="Arial" w:eastAsia="Arial" w:hAnsi="Arial"/>
          <w:b w:val="false"/>
          <w:bCs w:val="false"/>
          <w:i w:val="false"/>
          <w:iCs w:val="false"/>
          <w:color w:val="0A0A0A"/>
          <w:sz w:val="24"/>
          <w:szCs w:val="24"/>
        </w:rPr>
        <w:t xml:space="preserve">This process does not change, even if other rules in this document are updated. Authorisation and movement are separate events. Authorised tokens that have not yet been moved carry over between quarters. Authorisations may be revoked if the need no longer exists.</w:t>
      </w:r>
    </w:p>
    <w:p>
      <w:pPr>
        <w:pStyle w:val="Heading2"/>
        <w:spacing w:before="280" w:after="200"/>
      </w:pPr>
      <w:r>
        <w:rPr>
          <w:rFonts w:ascii="Arial" w:cs="Arial" w:eastAsia="Arial" w:hAnsi="Arial"/>
          <w:b/>
          <w:bCs/>
          <w:color w:val="0A0A0A"/>
          <w:sz w:val="30"/>
          <w:szCs w:val="30"/>
        </w:rPr>
        <w:t xml:space="preserve">4.3 Spending Cap</w:t>
      </w:r>
    </w:p>
    <w:p>
      <w:pPr>
        <w:spacing w:after="200" w:before="0"/>
        <w:jc w:val="left"/>
      </w:pPr>
      <w:r>
        <w:rPr>
          <w:rFonts w:ascii="Arial" w:cs="Arial" w:eastAsia="Arial" w:hAnsi="Arial"/>
          <w:b w:val="false"/>
          <w:bCs w:val="false"/>
          <w:i w:val="false"/>
          <w:iCs w:val="false"/>
          <w:color w:val="0A0A0A"/>
          <w:sz w:val="24"/>
          <w:szCs w:val="24"/>
        </w:rPr>
        <w:t xml:space="preserve">The treasury enforces a global quarterly spending cap. The cap is mutable — any adjustment must follow the standard authorisation process. The full history of cap changes is auditable via contract events.</w:t>
      </w:r>
    </w:p>
    <w:p>
      <w:pPr>
        <w:pStyle w:val="Heading2"/>
        <w:spacing w:before="280" w:after="200"/>
      </w:pPr>
      <w:r>
        <w:rPr>
          <w:rFonts w:ascii="Arial" w:cs="Arial" w:eastAsia="Arial" w:hAnsi="Arial"/>
          <w:b/>
          <w:bCs/>
          <w:color w:val="0A0A0A"/>
          <w:sz w:val="30"/>
          <w:szCs w:val="30"/>
        </w:rPr>
        <w:t xml:space="preserve">4.4 Team Vesting</w:t>
      </w:r>
    </w:p>
    <w:p>
      <w:pPr>
        <w:spacing w:after="200" w:before="0"/>
        <w:jc w:val="left"/>
      </w:pPr>
      <w:r>
        <w:rPr>
          <w:rFonts w:ascii="Arial" w:cs="Arial" w:eastAsia="Arial" w:hAnsi="Arial"/>
          <w:b w:val="false"/>
          <w:bCs w:val="false"/>
          <w:i w:val="false"/>
          <w:iCs w:val="false"/>
          <w:color w:val="0A0A0A"/>
          <w:sz w:val="24"/>
          <w:szCs w:val="24"/>
        </w:rPr>
        <w:t xml:space="preserve">The team allocation vests in equal quarterly instalments over two years from the launch date. Vested tokens leave the treasury permanently. The vesting schedule is fixed and not subject to acceleration.</w:t>
      </w:r>
    </w:p>
    <w:p>
      <w:pPr>
        <w:pStyle w:val="Heading2"/>
        <w:spacing w:before="280" w:after="200"/>
      </w:pPr>
      <w:r>
        <w:rPr>
          <w:rFonts w:ascii="Arial" w:cs="Arial" w:eastAsia="Arial" w:hAnsi="Arial"/>
          <w:b/>
          <w:bCs/>
          <w:color w:val="0A0A0A"/>
          <w:sz w:val="30"/>
          <w:szCs w:val="30"/>
        </w:rPr>
        <w:t xml:space="preserve">4.5 Budget Reversions</w:t>
      </w:r>
    </w:p>
    <w:p>
      <w:pPr>
        <w:spacing w:after="200" w:before="0"/>
        <w:jc w:val="left"/>
      </w:pPr>
      <w:r>
        <w:rPr>
          <w:rFonts w:ascii="Arial" w:cs="Arial" w:eastAsia="Arial" w:hAnsi="Arial"/>
          <w:b w:val="false"/>
          <w:bCs w:val="false"/>
          <w:i w:val="false"/>
          <w:iCs w:val="false"/>
          <w:color w:val="0A0A0A"/>
          <w:sz w:val="24"/>
          <w:szCs w:val="24"/>
        </w:rPr>
        <w:t xml:space="preserve">The operational budget is reviewed quarterly. Unspent budget tokens revert to the treasury at the end of each quarter. This creates a soft deflationary mechanism — tokens that are not used do not enter circulation.</w:t>
      </w:r>
    </w:p>
    <w:p>
      <w:r>
        <w:br w:type="page"/>
      </w:r>
    </w:p>
    <w:p>
      <w:pPr>
        <w:pStyle w:val="Heading1"/>
        <w:spacing w:before="360" w:after="200"/>
      </w:pPr>
      <w:r>
        <w:rPr>
          <w:rFonts w:ascii="Arial" w:cs="Arial" w:eastAsia="Arial" w:hAnsi="Arial"/>
          <w:b/>
          <w:bCs/>
          <w:color w:val="0A0A0A"/>
          <w:sz w:val="36"/>
          <w:szCs w:val="36"/>
        </w:rPr>
        <w:t xml:space="preserve">5. Emission and Burn Model</w:t>
      </w:r>
    </w:p>
    <w:p>
      <w:pPr>
        <w:spacing w:after="200" w:before="0"/>
        <w:jc w:val="left"/>
      </w:pPr>
      <w:r>
        <w:rPr>
          <w:rFonts w:ascii="Arial" w:cs="Arial" w:eastAsia="Arial" w:hAnsi="Arial"/>
          <w:b w:val="false"/>
          <w:bCs w:val="false"/>
          <w:i w:val="false"/>
          <w:iCs w:val="false"/>
          <w:color w:val="0A0A0A"/>
          <w:sz w:val="24"/>
          <w:szCs w:val="24"/>
        </w:rPr>
        <w:t xml:space="preserve">The schedule of release governs how fixed-supply tokens enter circulation. The emission and burn model governs how supply adjusts dynamically in response to network activity. They are complementary mechanisms — two separate documents governing one unified economic system.</w:t>
      </w:r>
    </w:p>
    <w:p>
      <w:pPr>
        <w:pStyle w:val="Heading2"/>
        <w:spacing w:before="280" w:after="200"/>
      </w:pPr>
      <w:r>
        <w:rPr>
          <w:rFonts w:ascii="Arial" w:cs="Arial" w:eastAsia="Arial" w:hAnsi="Arial"/>
          <w:b/>
          <w:bCs/>
          <w:color w:val="0A0A0A"/>
          <w:sz w:val="30"/>
          <w:szCs w:val="30"/>
        </w:rPr>
        <w:t xml:space="preserve">5.1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026"/>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Network Activity Metric (M)</w:t>
            </w:r>
          </w:p>
        </w:tc>
        <w:tc>
          <w:tcPr>
            <w:tcW w:type="dxa" w:w="6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A 90-day rolling average of attestation volume on the Notachain Protocol. The 90-day window smooths short-term volatility and resists manipulation.</w:t>
            </w:r>
          </w:p>
        </w:tc>
      </w:tr>
      <w:tr>
        <w:tc>
          <w:tcPr>
            <w:tcW w:type="dxa" w:w="30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Emission Rate (I)</w:t>
            </w:r>
          </w:p>
        </w:tc>
        <w:tc>
          <w:tcPr>
            <w:tcW w:type="dxa" w:w="6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The annualised rate at which new $PRZ tokens are minted and distributed to participants. Expressed as a percentage of circulating supply.</w:t>
            </w:r>
          </w:p>
        </w:tc>
      </w:tr>
      <w:tr>
        <w:tc>
          <w:tcPr>
            <w:tcW w:type="dxa" w:w="30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Burn Rate (B)</w:t>
            </w:r>
          </w:p>
        </w:tc>
        <w:tc>
          <w:tcPr>
            <w:tcW w:type="dxa" w:w="6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The annualised rate at which $PRZ tokens are permanently removed from circulation through attestation fees and read fees. Expressed as a percentage of circulating supply.</w:t>
            </w:r>
          </w:p>
        </w:tc>
      </w:tr>
      <w:tr>
        <w:tc>
          <w:tcPr>
            <w:tcW w:type="dxa" w:w="30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Net Supply Change</w:t>
            </w:r>
          </w:p>
        </w:tc>
        <w:tc>
          <w:tcPr>
            <w:tcW w:type="dxa" w:w="6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The difference between the emission rate and the burn rate (I − B). Positive = net inflation. Negative = net deflation.</w:t>
            </w:r>
          </w:p>
        </w:tc>
      </w:tr>
      <w:tr>
        <w:tc>
          <w:tcPr>
            <w:tcW w:type="dxa" w:w="30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Crossover Point</w:t>
            </w:r>
          </w:p>
        </w:tc>
        <w:tc>
          <w:tcPr>
            <w:tcW w:type="dxa" w:w="6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The level of network activity at which the emission rate equals the burn rate. Below: net inflationary. Above: net deflationary.</w:t>
            </w:r>
          </w:p>
        </w:tc>
      </w:tr>
    </w:tbl>
    <w:p>
      <w:pPr>
        <w:pStyle w:val="Heading2"/>
        <w:spacing w:before="280" w:after="200"/>
      </w:pPr>
      <w:r>
        <w:rPr>
          <w:rFonts w:ascii="Arial" w:cs="Arial" w:eastAsia="Arial" w:hAnsi="Arial"/>
          <w:b/>
          <w:bCs/>
          <w:color w:val="0A0A0A"/>
          <w:sz w:val="30"/>
          <w:szCs w:val="30"/>
        </w:rPr>
        <w:t xml:space="preserve">5.2 The Inverse Sigmoid Emission Curve</w:t>
      </w:r>
    </w:p>
    <w:p>
      <w:pPr>
        <w:spacing w:after="200" w:before="0"/>
        <w:jc w:val="left"/>
      </w:pPr>
      <w:r>
        <w:rPr>
          <w:rFonts w:ascii="Arial" w:cs="Arial" w:eastAsia="Arial" w:hAnsi="Arial"/>
          <w:b w:val="false"/>
          <w:bCs w:val="false"/>
          <w:i w:val="false"/>
          <w:iCs w:val="false"/>
          <w:color w:val="0A0A0A"/>
          <w:sz w:val="24"/>
          <w:szCs w:val="24"/>
        </w:rPr>
        <w:t xml:space="preserve">The emission rate follows an inverse sigmoid curve as a function of the Network Activity Metric (M):</w:t>
      </w:r>
    </w:p>
    <w:p>
      <w:pPr>
        <w:pStyle w:val="ListParagraph"/>
        <w:numPr>
          <w:ilvl w:val="0"/>
          <w:numId w:val="2"/>
        </w:numPr>
        <w:spacing w:after="120"/>
      </w:pPr>
      <w:r>
        <w:rPr>
          <w:rFonts w:ascii="Arial" w:cs="Arial" w:eastAsia="Arial" w:hAnsi="Arial"/>
          <w:color w:val="0A0A0A"/>
          <w:sz w:val="24"/>
          <w:szCs w:val="24"/>
        </w:rPr>
        <w:t xml:space="preserve">When network activity is low, the emission rate is at its ceiling — maximum incentives to attract and reward early attestors.</w:t>
      </w:r>
    </w:p>
    <w:p>
      <w:pPr>
        <w:pStyle w:val="ListParagraph"/>
        <w:numPr>
          <w:ilvl w:val="0"/>
          <w:numId w:val="2"/>
        </w:numPr>
        <w:spacing w:after="120"/>
      </w:pPr>
      <w:r>
        <w:rPr>
          <w:rFonts w:ascii="Arial" w:cs="Arial" w:eastAsia="Arial" w:hAnsi="Arial"/>
          <w:color w:val="0A0A0A"/>
          <w:sz w:val="24"/>
          <w:szCs w:val="24"/>
        </w:rPr>
        <w:t xml:space="preserve">As network activity increases, the emission rate decreases along the curve. The steepest part — the transition zone — is where the protocol is most responsive to changes in volume.</w:t>
      </w:r>
    </w:p>
    <w:p>
      <w:pPr>
        <w:pStyle w:val="ListParagraph"/>
        <w:numPr>
          <w:ilvl w:val="0"/>
          <w:numId w:val="2"/>
        </w:numPr>
        <w:spacing w:after="200"/>
      </w:pPr>
      <w:r>
        <w:rPr>
          <w:rFonts w:ascii="Arial" w:cs="Arial" w:eastAsia="Arial" w:hAnsi="Arial"/>
          <w:color w:val="0A0A0A"/>
          <w:sz w:val="24"/>
          <w:szCs w:val="24"/>
        </w:rPr>
        <w:t xml:space="preserve">When network activity is high, the emission rate approaches its floor — minimal new issuance, as the network no longer needs aggressive incentives.</w:t>
      </w:r>
    </w:p>
    <w:p>
      <w:pPr>
        <w:spacing w:after="200" w:before="0"/>
        <w:jc w:val="left"/>
      </w:pPr>
      <w:r>
        <w:rPr>
          <w:rFonts w:ascii="Arial" w:cs="Arial" w:eastAsia="Arial" w:hAnsi="Arial"/>
          <w:b w:val="false"/>
          <w:bCs w:val="false"/>
          <w:i w:val="false"/>
          <w:iCs w:val="false"/>
          <w:color w:val="0A0A0A"/>
          <w:sz w:val="24"/>
          <w:szCs w:val="24"/>
        </w:rPr>
        <w:t xml:space="preserve">The mathematical form is: I = floor + (ceiling − floor) / (1 + e^(k × (M − midpoint))), where k controls the steepness and midpoint defines what “healthy volume” means for the protocol.</w:t>
      </w:r>
    </w:p>
    <w:p>
      <w:pPr>
        <w:pStyle w:val="Heading2"/>
        <w:spacing w:before="280" w:after="200"/>
      </w:pPr>
      <w:r>
        <w:rPr>
          <w:rFonts w:ascii="Arial" w:cs="Arial" w:eastAsia="Arial" w:hAnsi="Arial"/>
          <w:b/>
          <w:bCs/>
          <w:color w:val="0A0A0A"/>
          <w:sz w:val="30"/>
          <w:szCs w:val="30"/>
        </w:rPr>
        <w:t xml:space="preserve">5.3 The Linear Burn Mechanism</w:t>
      </w:r>
    </w:p>
    <w:p>
      <w:pPr>
        <w:spacing w:after="200" w:before="0"/>
        <w:jc w:val="left"/>
      </w:pPr>
      <w:r>
        <w:rPr>
          <w:rFonts w:ascii="Arial" w:cs="Arial" w:eastAsia="Arial" w:hAnsi="Arial"/>
          <w:b w:val="false"/>
          <w:bCs w:val="false"/>
          <w:i w:val="false"/>
          <w:iCs w:val="false"/>
          <w:color w:val="0A0A0A"/>
          <w:sz w:val="24"/>
          <w:szCs w:val="24"/>
        </w:rPr>
        <w:t xml:space="preserve">The burn rate is a linear function of network activity. Both attestation creation fees and attestation read fees contribute to the burn:</w:t>
      </w:r>
    </w:p>
    <w:p>
      <w:pPr>
        <w:pStyle w:val="ListParagraph"/>
        <w:numPr>
          <w:ilvl w:val="0"/>
          <w:numId w:val="2"/>
        </w:numPr>
        <w:spacing w:after="120"/>
      </w:pPr>
      <w:r>
        <w:rPr>
          <w:rFonts w:ascii="Arial" w:cs="Arial" w:eastAsia="Arial" w:hAnsi="Arial"/>
          <w:color w:val="0A0A0A"/>
          <w:sz w:val="24"/>
          <w:szCs w:val="24"/>
        </w:rPr>
        <w:t xml:space="preserve">More attestation volume = more creation fees burned.</w:t>
      </w:r>
    </w:p>
    <w:p>
      <w:pPr>
        <w:pStyle w:val="ListParagraph"/>
        <w:numPr>
          <w:ilvl w:val="0"/>
          <w:numId w:val="2"/>
        </w:numPr>
        <w:spacing w:after="120"/>
      </w:pPr>
      <w:r>
        <w:rPr>
          <w:rFonts w:ascii="Arial" w:cs="Arial" w:eastAsia="Arial" w:hAnsi="Arial"/>
          <w:color w:val="0A0A0A"/>
          <w:sz w:val="24"/>
          <w:szCs w:val="24"/>
        </w:rPr>
        <w:t xml:space="preserve">More attestation reads = more read fees burned.</w:t>
      </w:r>
    </w:p>
    <w:p>
      <w:pPr>
        <w:pStyle w:val="ListParagraph"/>
        <w:numPr>
          <w:ilvl w:val="0"/>
          <w:numId w:val="2"/>
        </w:numPr>
        <w:spacing w:after="200"/>
      </w:pPr>
      <w:r>
        <w:rPr>
          <w:rFonts w:ascii="Arial" w:cs="Arial" w:eastAsia="Arial" w:hAnsi="Arial"/>
          <w:color w:val="0A0A0A"/>
          <w:sz w:val="24"/>
          <w:szCs w:val="24"/>
        </w:rPr>
        <w:t xml:space="preserve">The fees serve as a natural defence against attestation farming and read-spamming. Emissions must exceed the fee cost for gaming to be profitable.</w:t>
      </w:r>
    </w:p>
    <w:p>
      <w:pPr>
        <w:pStyle w:val="Heading2"/>
        <w:spacing w:before="280" w:after="200"/>
      </w:pPr>
      <w:r>
        <w:rPr>
          <w:rFonts w:ascii="Arial" w:cs="Arial" w:eastAsia="Arial" w:hAnsi="Arial"/>
          <w:b/>
          <w:bCs/>
          <w:color w:val="0A0A0A"/>
          <w:sz w:val="30"/>
          <w:szCs w:val="30"/>
        </w:rPr>
        <w:t xml:space="preserve">5.4 Interaction of Emissions and Burns</w:t>
      </w:r>
    </w:p>
    <w:p>
      <w:pPr>
        <w:spacing w:after="200" w:before="0"/>
        <w:jc w:val="left"/>
      </w:pPr>
      <w:r>
        <w:rPr>
          <w:rFonts w:ascii="Arial" w:cs="Arial" w:eastAsia="Arial" w:hAnsi="Arial"/>
          <w:b w:val="false"/>
          <w:bCs w:val="false"/>
          <w:i w:val="false"/>
          <w:iCs w:val="false"/>
          <w:color w:val="0A0A0A"/>
          <w:sz w:val="24"/>
          <w:szCs w:val="24"/>
        </w:rPr>
        <w:t xml:space="preserve">The emission and burn mechanisms operate simultaneously:</w:t>
      </w:r>
    </w:p>
    <w:p>
      <w:pPr>
        <w:pStyle w:val="ListParagraph"/>
        <w:numPr>
          <w:ilvl w:val="0"/>
          <w:numId w:val="2"/>
        </w:numPr>
        <w:spacing w:after="120"/>
      </w:pPr>
      <w:r>
        <w:rPr>
          <w:rFonts w:ascii="Arial" w:cs="Arial" w:eastAsia="Arial" w:hAnsi="Arial"/>
          <w:b/>
          <w:bCs/>
          <w:color w:val="0A0A0A"/>
          <w:sz w:val="24"/>
          <w:szCs w:val="24"/>
        </w:rPr>
        <w:t xml:space="preserve">Left of the crossover point (low activity): </w:t>
      </w:r>
      <w:r>
        <w:rPr>
          <w:rFonts w:ascii="Arial" w:cs="Arial" w:eastAsia="Arial" w:hAnsi="Arial"/>
          <w:color w:val="0A0A0A"/>
          <w:sz w:val="24"/>
          <w:szCs w:val="24"/>
        </w:rPr>
        <w:t xml:space="preserve">net inflationary. Supply growing. Growth mode.</w:t>
      </w:r>
    </w:p>
    <w:p>
      <w:pPr>
        <w:pStyle w:val="ListParagraph"/>
        <w:numPr>
          <w:ilvl w:val="0"/>
          <w:numId w:val="2"/>
        </w:numPr>
        <w:spacing w:after="120"/>
      </w:pPr>
      <w:r>
        <w:rPr>
          <w:rFonts w:ascii="Arial" w:cs="Arial" w:eastAsia="Arial" w:hAnsi="Arial"/>
          <w:b/>
          <w:bCs/>
          <w:color w:val="0A0A0A"/>
          <w:sz w:val="24"/>
          <w:szCs w:val="24"/>
        </w:rPr>
        <w:t xml:space="preserve">At the crossover point: </w:t>
      </w:r>
      <w:r>
        <w:rPr>
          <w:rFonts w:ascii="Arial" w:cs="Arial" w:eastAsia="Arial" w:hAnsi="Arial"/>
          <w:color w:val="0A0A0A"/>
          <w:sz w:val="24"/>
          <w:szCs w:val="24"/>
        </w:rPr>
        <w:t xml:space="preserve">emissions and burns equal. Supply stable.</w:t>
      </w:r>
    </w:p>
    <w:p>
      <w:pPr>
        <w:pStyle w:val="ListParagraph"/>
        <w:numPr>
          <w:ilvl w:val="0"/>
          <w:numId w:val="2"/>
        </w:numPr>
        <w:spacing w:after="200"/>
      </w:pPr>
      <w:r>
        <w:rPr>
          <w:rFonts w:ascii="Arial" w:cs="Arial" w:eastAsia="Arial" w:hAnsi="Arial"/>
          <w:b/>
          <w:bCs/>
          <w:color w:val="0A0A0A"/>
          <w:sz w:val="24"/>
          <w:szCs w:val="24"/>
        </w:rPr>
        <w:t xml:space="preserve">Right of the crossover point (high activity): </w:t>
      </w:r>
      <w:r>
        <w:rPr>
          <w:rFonts w:ascii="Arial" w:cs="Arial" w:eastAsia="Arial" w:hAnsi="Arial"/>
          <w:color w:val="0A0A0A"/>
          <w:sz w:val="24"/>
          <w:szCs w:val="24"/>
        </w:rPr>
        <w:t xml:space="preserve">net deflationary. Supply shrinking. Network self-sustaining.</w:t>
      </w:r>
    </w:p>
    <w:p>
      <w:pPr>
        <w:spacing w:after="200" w:before="0"/>
        <w:jc w:val="left"/>
      </w:pPr>
      <w:r>
        <w:rPr>
          <w:rFonts w:ascii="Arial" w:cs="Arial" w:eastAsia="Arial" w:hAnsi="Arial"/>
          <w:b w:val="false"/>
          <w:bCs w:val="false"/>
          <w:i w:val="false"/>
          <w:iCs w:val="false"/>
          <w:color w:val="0A0A0A"/>
          <w:sz w:val="24"/>
          <w:szCs w:val="24"/>
        </w:rPr>
        <w:t xml:space="preserve">Both mechanisms push in the same direction. When volume is low, emissions are high but burns are also low. When volume is high, emissions are low and burns are high. The curve amplifies itself.</w:t>
      </w:r>
    </w:p>
    <w:p>
      <w:pPr>
        <w:pStyle w:val="Heading2"/>
        <w:spacing w:before="280" w:after="200"/>
      </w:pPr>
      <w:r>
        <w:rPr>
          <w:rFonts w:ascii="Arial" w:cs="Arial" w:eastAsia="Arial" w:hAnsi="Arial"/>
          <w:b/>
          <w:bCs/>
          <w:color w:val="0A0A0A"/>
          <w:sz w:val="30"/>
          <w:szCs w:val="30"/>
        </w:rPr>
        <w:t xml:space="preserve">5.5 Curve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26"/>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Emission Ceiling</w:t>
            </w:r>
          </w:p>
        </w:tc>
        <w:tc>
          <w:tcPr>
            <w:tcW w:type="dxa" w:w="1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[TBD]% APR</w:t>
            </w:r>
          </w:p>
        </w:tc>
        <w:tc>
          <w:tcPr>
            <w:tcW w:type="dxa" w:w="5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Maximum emission rate when network activity is at its lowest.</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Emission Floor</w:t>
            </w:r>
          </w:p>
        </w:tc>
        <w:tc>
          <w:tcPr>
            <w:tcW w:type="dxa" w:w="1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[TBD]% APR</w:t>
            </w:r>
          </w:p>
        </w:tc>
        <w:tc>
          <w:tcPr>
            <w:tcW w:type="dxa" w:w="5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Minimum emission rate when network activity is at its highest.</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Transition Midpoint</w:t>
            </w:r>
          </w:p>
        </w:tc>
        <w:tc>
          <w:tcPr>
            <w:tcW w:type="dxa" w:w="1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[TBD]</w:t>
            </w:r>
          </w:p>
        </w:tc>
        <w:tc>
          <w:tcPr>
            <w:tcW w:type="dxa" w:w="5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The value of M at which the emission curve is steepest.</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Curve Steepness (k)</w:t>
            </w:r>
          </w:p>
        </w:tc>
        <w:tc>
          <w:tcPr>
            <w:tcW w:type="dxa" w:w="1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[TBD]</w:t>
            </w:r>
          </w:p>
        </w:tc>
        <w:tc>
          <w:tcPr>
            <w:tcW w:type="dxa" w:w="5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How sharply the emission rate transitions between ceiling and floor.</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Burn Proportion (creation)</w:t>
            </w:r>
          </w:p>
        </w:tc>
        <w:tc>
          <w:tcPr>
            <w:tcW w:type="dxa" w:w="1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[TBD]% of fee</w:t>
            </w:r>
          </w:p>
        </w:tc>
        <w:tc>
          <w:tcPr>
            <w:tcW w:type="dxa" w:w="5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Portion of attestation creation fee allocated to burns.</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Burn Proportion (reads)</w:t>
            </w:r>
          </w:p>
        </w:tc>
        <w:tc>
          <w:tcPr>
            <w:tcW w:type="dxa" w:w="1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[TBD]% of fee</w:t>
            </w:r>
          </w:p>
        </w:tc>
        <w:tc>
          <w:tcPr>
            <w:tcW w:type="dxa" w:w="5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Portion of attestation read fee allocated to burns.</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Rolling Window</w:t>
            </w:r>
          </w:p>
        </w:tc>
        <w:tc>
          <w:tcPr>
            <w:tcW w:type="dxa" w:w="1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90 days</w:t>
            </w:r>
          </w:p>
        </w:tc>
        <w:tc>
          <w:tcPr>
            <w:tcW w:type="dxa" w:w="5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Period over which network activity is averaged.</w:t>
            </w:r>
          </w:p>
        </w:tc>
      </w:tr>
    </w:tbl>
    <w:p>
      <w:pPr>
        <w:spacing w:after="200" w:before="0"/>
        <w:jc w:val="left"/>
      </w:pPr>
      <w:r>
        <w:rPr>
          <w:rFonts w:ascii="Arial" w:cs="Arial" w:eastAsia="Arial" w:hAnsi="Arial"/>
          <w:b w:val="false"/>
          <w:bCs w:val="false"/>
          <w:i/>
          <w:iCs/>
          <w:color w:val="6A6660"/>
          <w:sz w:val="24"/>
          <w:szCs w:val="24"/>
        </w:rPr>
        <w:t xml:space="preserve">All parameters are subject to finalisation before deployment. Once deployed, parameter adjustments follow the standard authorisation process.</w:t>
      </w:r>
    </w:p>
    <w:p>
      <w:pPr>
        <w:pStyle w:val="Heading2"/>
        <w:spacing w:before="280" w:after="200"/>
      </w:pPr>
      <w:r>
        <w:rPr>
          <w:rFonts w:ascii="Arial" w:cs="Arial" w:eastAsia="Arial" w:hAnsi="Arial"/>
          <w:b/>
          <w:bCs/>
          <w:color w:val="0A0A0A"/>
          <w:sz w:val="30"/>
          <w:szCs w:val="30"/>
        </w:rPr>
        <w:t xml:space="preserve">5.6 Guardrails</w:t>
      </w:r>
    </w:p>
    <w:p>
      <w:pPr>
        <w:pStyle w:val="ListParagraph"/>
        <w:numPr>
          <w:ilvl w:val="0"/>
          <w:numId w:val="3"/>
        </w:numPr>
        <w:spacing w:after="120"/>
      </w:pPr>
      <w:r>
        <w:rPr>
          <w:rFonts w:ascii="Arial" w:cs="Arial" w:eastAsia="Arial" w:hAnsi="Arial"/>
          <w:b/>
          <w:bCs/>
          <w:color w:val="0A0A0A"/>
          <w:sz w:val="24"/>
          <w:szCs w:val="24"/>
        </w:rPr>
        <w:t xml:space="preserve">Emission ceiling: </w:t>
      </w:r>
      <w:r>
        <w:rPr>
          <w:rFonts w:ascii="Arial" w:cs="Arial" w:eastAsia="Arial" w:hAnsi="Arial"/>
          <w:color w:val="0A0A0A"/>
          <w:sz w:val="24"/>
          <w:szCs w:val="24"/>
        </w:rPr>
        <w:t xml:space="preserve">the emission rate can never exceed the ceiling, regardless of how low network activity falls.</w:t>
      </w:r>
    </w:p>
    <w:p>
      <w:pPr>
        <w:pStyle w:val="ListParagraph"/>
        <w:numPr>
          <w:ilvl w:val="0"/>
          <w:numId w:val="3"/>
        </w:numPr>
        <w:spacing w:after="120"/>
      </w:pPr>
      <w:r>
        <w:rPr>
          <w:rFonts w:ascii="Arial" w:cs="Arial" w:eastAsia="Arial" w:hAnsi="Arial"/>
          <w:b/>
          <w:bCs/>
          <w:color w:val="0A0A0A"/>
          <w:sz w:val="24"/>
          <w:szCs w:val="24"/>
        </w:rPr>
        <w:t xml:space="preserve">Emission floor: </w:t>
      </w:r>
      <w:r>
        <w:rPr>
          <w:rFonts w:ascii="Arial" w:cs="Arial" w:eastAsia="Arial" w:hAnsi="Arial"/>
          <w:color w:val="0A0A0A"/>
          <w:sz w:val="24"/>
          <w:szCs w:val="24"/>
        </w:rPr>
        <w:t xml:space="preserve">the emission rate never drops below the floor. Some minimum emission always exists.</w:t>
      </w:r>
    </w:p>
    <w:p>
      <w:pPr>
        <w:pStyle w:val="ListParagraph"/>
        <w:numPr>
          <w:ilvl w:val="0"/>
          <w:numId w:val="3"/>
        </w:numPr>
        <w:spacing w:after="120"/>
      </w:pPr>
      <w:r>
        <w:rPr>
          <w:rFonts w:ascii="Arial" w:cs="Arial" w:eastAsia="Arial" w:hAnsi="Arial"/>
          <w:b/>
          <w:bCs/>
          <w:color w:val="0A0A0A"/>
          <w:sz w:val="24"/>
          <w:szCs w:val="24"/>
        </w:rPr>
        <w:t xml:space="preserve">Rolling average: </w:t>
      </w:r>
      <w:r>
        <w:rPr>
          <w:rFonts w:ascii="Arial" w:cs="Arial" w:eastAsia="Arial" w:hAnsi="Arial"/>
          <w:color w:val="0A0A0A"/>
          <w:sz w:val="24"/>
          <w:szCs w:val="24"/>
        </w:rPr>
        <w:t xml:space="preserve">the 90-day window prevents short-term spikes from manipulating the emission rate.</w:t>
      </w:r>
    </w:p>
    <w:p>
      <w:pPr>
        <w:pStyle w:val="ListParagraph"/>
        <w:numPr>
          <w:ilvl w:val="0"/>
          <w:numId w:val="3"/>
        </w:numPr>
        <w:spacing w:after="200"/>
      </w:pPr>
      <w:r>
        <w:rPr>
          <w:rFonts w:ascii="Arial" w:cs="Arial" w:eastAsia="Arial" w:hAnsi="Arial"/>
          <w:b/>
          <w:bCs/>
          <w:color w:val="0A0A0A"/>
          <w:sz w:val="24"/>
          <w:szCs w:val="24"/>
        </w:rPr>
        <w:t xml:space="preserve">Treasury interaction awareness: </w:t>
      </w:r>
      <w:r>
        <w:rPr>
          <w:rFonts w:ascii="Arial" w:cs="Arial" w:eastAsia="Arial" w:hAnsi="Arial"/>
          <w:color w:val="0A0A0A"/>
          <w:sz w:val="24"/>
          <w:szCs w:val="24"/>
        </w:rPr>
        <w:t xml:space="preserve">if the protocol is already net inflationary, the bar for treasury releases should be higher.</w:t>
      </w:r>
    </w:p>
    <w:p>
      <w:r>
        <w:br w:type="page"/>
      </w:r>
    </w:p>
    <w:p>
      <w:pPr>
        <w:pStyle w:val="Heading1"/>
        <w:spacing w:before="360" w:after="200"/>
      </w:pPr>
      <w:r>
        <w:rPr>
          <w:rFonts w:ascii="Arial" w:cs="Arial" w:eastAsia="Arial" w:hAnsi="Arial"/>
          <w:b/>
          <w:bCs/>
          <w:color w:val="0A0A0A"/>
          <w:sz w:val="36"/>
          <w:szCs w:val="36"/>
        </w:rPr>
        <w:t xml:space="preserve">6. Staking Architecture</w:t>
      </w:r>
    </w:p>
    <w:p>
      <w:pPr>
        <w:spacing w:after="200" w:before="0"/>
        <w:jc w:val="left"/>
      </w:pPr>
      <w:r>
        <w:rPr>
          <w:rFonts w:ascii="Arial" w:cs="Arial" w:eastAsia="Arial" w:hAnsi="Arial"/>
          <w:b w:val="false"/>
          <w:bCs w:val="false"/>
          <w:i w:val="false"/>
          <w:iCs w:val="false"/>
          <w:color w:val="0A0A0A"/>
          <w:sz w:val="24"/>
          <w:szCs w:val="24"/>
        </w:rPr>
        <w:t xml:space="preserve">The Notachain Protocol’s primary trust mechanism is legal accountability. However, legal consequences operate on a timescale of months to years. Staking creates a complementary penalty layer that operates in seconds.</w:t>
      </w:r>
    </w:p>
    <w:p>
      <w:pPr>
        <w:pStyle w:val="Heading2"/>
        <w:spacing w:before="280" w:after="200"/>
      </w:pPr>
      <w:r>
        <w:rPr>
          <w:rFonts w:ascii="Arial" w:cs="Arial" w:eastAsia="Arial" w:hAnsi="Arial"/>
          <w:b/>
          <w:bCs/>
          <w:color w:val="0A0A0A"/>
          <w:sz w:val="30"/>
          <w:szCs w:val="30"/>
        </w:rPr>
        <w:t xml:space="preserve">6.1 Two Penalty Timescales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026"/>
      </w:tblGrid>
      <w:tr>
        <w:tc>
          <w:tcPr>
            <w:tcW w:type="dxa" w:w="20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5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Timescale</w:t>
            </w:r>
          </w:p>
        </w:tc>
        <w:tc>
          <w:tcPr>
            <w:tcW w:type="dxa" w:w="25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26"/>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0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Token staking / slashing</w:t>
            </w:r>
          </w:p>
        </w:tc>
        <w:tc>
          <w:tcPr>
            <w:tcW w:type="dxa" w:w="1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Seconds</w:t>
            </w:r>
          </w:p>
        </w:tc>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Economic loss of staked $PRZ</w:t>
            </w:r>
          </w:p>
        </w:tc>
        <w:tc>
          <w:tcPr>
            <w:tcW w:type="dxa" w:w="3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On-chain dispute resolution</w:t>
            </w:r>
          </w:p>
        </w:tc>
      </w:tr>
      <w:tr>
        <w:tc>
          <w:tcPr>
            <w:tcW w:type="dxa" w:w="20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Legal accountability</w:t>
            </w:r>
          </w:p>
        </w:tc>
        <w:tc>
          <w:tcPr>
            <w:tcW w:type="dxa" w:w="1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Months to years</w:t>
            </w:r>
          </w:p>
        </w:tc>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Criminal prosecution, loss of license, unlimited personal liability</w:t>
            </w:r>
          </w:p>
        </w:tc>
        <w:tc>
          <w:tcPr>
            <w:tcW w:type="dxa" w:w="3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Off-chain legal proceedings</w:t>
            </w:r>
          </w:p>
        </w:tc>
      </w:tr>
    </w:tbl>
    <w:p>
      <w:pPr>
        <w:spacing w:after="200" w:before="0"/>
        <w:jc w:val="left"/>
      </w:pPr>
      <w:r>
        <w:rPr>
          <w:rFonts w:ascii="Arial" w:cs="Arial" w:eastAsia="Arial" w:hAnsi="Arial"/>
          <w:b w:val="false"/>
          <w:bCs w:val="false"/>
          <w:i w:val="false"/>
          <w:iCs w:val="false"/>
          <w:color w:val="0A0A0A"/>
          <w:sz w:val="24"/>
          <w:szCs w:val="24"/>
        </w:rPr>
        <w:t xml:space="preserve">The two mechanisms are independent and reinforcing. Neither is sufficient alone — staking without legal liability is just another DeFi slashing mechanism; legal liability without staking leaves a gap during the months before proceedings conclude.</w:t>
      </w:r>
    </w:p>
    <w:p>
      <w:pPr>
        <w:pStyle w:val="Heading2"/>
        <w:spacing w:before="280" w:after="200"/>
      </w:pPr>
      <w:r>
        <w:rPr>
          <w:rFonts w:ascii="Arial" w:cs="Arial" w:eastAsia="Arial" w:hAnsi="Arial"/>
          <w:b/>
          <w:bCs/>
          <w:color w:val="0A0A0A"/>
          <w:sz w:val="30"/>
          <w:szCs w:val="30"/>
        </w:rPr>
        <w:t xml:space="preserve">6.2 Staking Requirements</w:t>
      </w:r>
    </w:p>
    <w:p>
      <w:pPr>
        <w:spacing w:after="200" w:before="0"/>
        <w:jc w:val="left"/>
      </w:pPr>
      <w:r>
        <w:rPr>
          <w:rFonts w:ascii="Arial" w:cs="Arial" w:eastAsia="Arial" w:hAnsi="Arial"/>
          <w:b w:val="false"/>
          <w:bCs w:val="false"/>
          <w:i w:val="false"/>
          <w:iCs w:val="false"/>
          <w:color w:val="0A0A0A"/>
          <w:sz w:val="24"/>
          <w:szCs w:val="24"/>
        </w:rPr>
        <w:t xml:space="preserve">Every attestor who registers on the Notachain registry must stake a minimum quantity of $PRZ against their registration:</w:t>
      </w:r>
    </w:p>
    <w:p>
      <w:pPr>
        <w:pStyle w:val="ListParagraph"/>
        <w:numPr>
          <w:ilvl w:val="0"/>
          <w:numId w:val="2"/>
        </w:numPr>
        <w:spacing w:after="120"/>
      </w:pPr>
      <w:r>
        <w:rPr>
          <w:rFonts w:ascii="Arial" w:cs="Arial" w:eastAsia="Arial" w:hAnsi="Arial"/>
          <w:color w:val="0A0A0A"/>
          <w:sz w:val="24"/>
          <w:szCs w:val="24"/>
        </w:rPr>
        <w:t xml:space="preserve">The minimum stake is tiered by trust classification (Tier A, B, or C) — higher trust tiers require higher stakes.</w:t>
      </w:r>
    </w:p>
    <w:p>
      <w:pPr>
        <w:pStyle w:val="ListParagraph"/>
        <w:numPr>
          <w:ilvl w:val="0"/>
          <w:numId w:val="2"/>
        </w:numPr>
        <w:spacing w:after="120"/>
      </w:pPr>
      <w:r>
        <w:rPr>
          <w:rFonts w:ascii="Arial" w:cs="Arial" w:eastAsia="Arial" w:hAnsi="Arial"/>
          <w:color w:val="0A0A0A"/>
          <w:sz w:val="24"/>
          <w:szCs w:val="24"/>
        </w:rPr>
        <w:t xml:space="preserve">For early attestors, the stake is funded from Attestor Grants and Staking Reserves. No purchase required to register.</w:t>
      </w:r>
    </w:p>
    <w:p>
      <w:pPr>
        <w:pStyle w:val="ListParagraph"/>
        <w:numPr>
          <w:ilvl w:val="0"/>
          <w:numId w:val="2"/>
        </w:numPr>
        <w:spacing w:after="120"/>
      </w:pPr>
      <w:r>
        <w:rPr>
          <w:rFonts w:ascii="Arial" w:cs="Arial" w:eastAsia="Arial" w:hAnsi="Arial"/>
          <w:color w:val="0A0A0A"/>
          <w:sz w:val="24"/>
          <w:szCs w:val="24"/>
        </w:rPr>
        <w:t xml:space="preserve">Staked tokens are locked in the registry contract and cannot be transferred while active.</w:t>
      </w:r>
    </w:p>
    <w:p>
      <w:pPr>
        <w:pStyle w:val="ListParagraph"/>
        <w:numPr>
          <w:ilvl w:val="0"/>
          <w:numId w:val="2"/>
        </w:numPr>
        <w:spacing w:after="200"/>
      </w:pPr>
      <w:r>
        <w:rPr>
          <w:rFonts w:ascii="Arial" w:cs="Arial" w:eastAsia="Arial" w:hAnsi="Arial"/>
          <w:color w:val="0A0A0A"/>
          <w:sz w:val="24"/>
          <w:szCs w:val="24"/>
        </w:rPr>
        <w:t xml:space="preserve">Voluntary deregistration triggers an unbonding period before the stake is returned.</w:t>
      </w:r>
    </w:p>
    <w:p>
      <w:pPr>
        <w:pStyle w:val="Heading2"/>
        <w:spacing w:before="280" w:after="200"/>
      </w:pPr>
      <w:r>
        <w:rPr>
          <w:rFonts w:ascii="Arial" w:cs="Arial" w:eastAsia="Arial" w:hAnsi="Arial"/>
          <w:b/>
          <w:bCs/>
          <w:color w:val="0A0A0A"/>
          <w:sz w:val="30"/>
          <w:szCs w:val="30"/>
        </w:rPr>
        <w:t xml:space="preserve">6.3 Slashing Conditions</w:t>
      </w:r>
    </w:p>
    <w:p>
      <w:pPr>
        <w:spacing w:after="200" w:before="0"/>
        <w:jc w:val="left"/>
      </w:pPr>
      <w:r>
        <w:rPr>
          <w:rFonts w:ascii="Arial" w:cs="Arial" w:eastAsia="Arial" w:hAnsi="Arial"/>
          <w:b w:val="false"/>
          <w:bCs w:val="false"/>
          <w:i w:val="false"/>
          <w:iCs w:val="false"/>
          <w:color w:val="0A0A0A"/>
          <w:sz w:val="24"/>
          <w:szCs w:val="24"/>
        </w:rPr>
        <w:t xml:space="preserve">An attestor’s stake is slashed when a dispute is resolved against them:</w:t>
      </w:r>
    </w:p>
    <w:p>
      <w:pPr>
        <w:pStyle w:val="ListParagraph"/>
        <w:numPr>
          <w:ilvl w:val="0"/>
          <w:numId w:val="2"/>
        </w:numPr>
        <w:spacing w:after="120"/>
      </w:pPr>
      <w:r>
        <w:rPr>
          <w:rFonts w:ascii="Arial" w:cs="Arial" w:eastAsia="Arial" w:hAnsi="Arial"/>
          <w:b/>
          <w:bCs/>
          <w:color w:val="0A0A0A"/>
          <w:sz w:val="24"/>
          <w:szCs w:val="24"/>
        </w:rPr>
        <w:t xml:space="preserve">Proven fraudulent attestation: </w:t>
      </w:r>
      <w:r>
        <w:rPr>
          <w:rFonts w:ascii="Arial" w:cs="Arial" w:eastAsia="Arial" w:hAnsi="Arial"/>
          <w:color w:val="0A0A0A"/>
          <w:sz w:val="24"/>
          <w:szCs w:val="24"/>
        </w:rPr>
        <w:t xml:space="preserve">knowingly signing a false statement. Full slashing.</w:t>
      </w:r>
    </w:p>
    <w:p>
      <w:pPr>
        <w:pStyle w:val="ListParagraph"/>
        <w:numPr>
          <w:ilvl w:val="0"/>
          <w:numId w:val="2"/>
        </w:numPr>
        <w:spacing w:after="120"/>
      </w:pPr>
      <w:r>
        <w:rPr>
          <w:rFonts w:ascii="Arial" w:cs="Arial" w:eastAsia="Arial" w:hAnsi="Arial"/>
          <w:b/>
          <w:bCs/>
          <w:color w:val="0A0A0A"/>
          <w:sz w:val="24"/>
          <w:szCs w:val="24"/>
        </w:rPr>
        <w:t xml:space="preserve">Negligent attestation: </w:t>
      </w:r>
      <w:r>
        <w:rPr>
          <w:rFonts w:ascii="Arial" w:cs="Arial" w:eastAsia="Arial" w:hAnsi="Arial"/>
          <w:color w:val="0A0A0A"/>
          <w:sz w:val="24"/>
          <w:szCs w:val="24"/>
        </w:rPr>
        <w:t xml:space="preserve">failure to perform reasonable verification. Partial slashing.</w:t>
      </w:r>
    </w:p>
    <w:p>
      <w:pPr>
        <w:pStyle w:val="ListParagraph"/>
        <w:numPr>
          <w:ilvl w:val="0"/>
          <w:numId w:val="2"/>
        </w:numPr>
        <w:spacing w:after="200"/>
      </w:pPr>
      <w:r>
        <w:rPr>
          <w:rFonts w:ascii="Arial" w:cs="Arial" w:eastAsia="Arial" w:hAnsi="Arial"/>
          <w:b/>
          <w:bCs/>
          <w:color w:val="0A0A0A"/>
          <w:sz w:val="24"/>
          <w:szCs w:val="24"/>
        </w:rPr>
        <w:t xml:space="preserve">Key compromise without timely disclosure: </w:t>
      </w:r>
      <w:r>
        <w:rPr>
          <w:rFonts w:ascii="Arial" w:cs="Arial" w:eastAsia="Arial" w:hAnsi="Arial"/>
          <w:color w:val="0A0A0A"/>
          <w:sz w:val="24"/>
          <w:szCs w:val="24"/>
        </w:rPr>
        <w:t xml:space="preserve">failure to report and initiate rotation within a reasonable period. Partial slashing.</w:t>
      </w:r>
    </w:p>
    <w:p>
      <w:pPr>
        <w:pStyle w:val="Heading2"/>
        <w:spacing w:before="280" w:after="200"/>
      </w:pPr>
      <w:r>
        <w:rPr>
          <w:rFonts w:ascii="Arial" w:cs="Arial" w:eastAsia="Arial" w:hAnsi="Arial"/>
          <w:b/>
          <w:bCs/>
          <w:color w:val="0A0A0A"/>
          <w:sz w:val="30"/>
          <w:szCs w:val="30"/>
        </w:rPr>
        <w:t xml:space="preserve">6.4 Dispute Resolution</w:t>
      </w:r>
    </w:p>
    <w:p>
      <w:pPr>
        <w:spacing w:after="200" w:before="0"/>
        <w:jc w:val="left"/>
      </w:pPr>
      <w:r>
        <w:rPr>
          <w:rFonts w:ascii="Arial" w:cs="Arial" w:eastAsia="Arial" w:hAnsi="Arial"/>
          <w:b w:val="false"/>
          <w:bCs w:val="false"/>
          <w:i w:val="false"/>
          <w:iCs w:val="false"/>
          <w:color w:val="0A0A0A"/>
          <w:sz w:val="24"/>
          <w:szCs w:val="24"/>
        </w:rPr>
        <w:t xml:space="preserve">The working model for dispute resolution:</w:t>
      </w:r>
    </w:p>
    <w:p>
      <w:pPr>
        <w:pStyle w:val="ListParagraph"/>
        <w:numPr>
          <w:ilvl w:val="0"/>
          <w:numId w:val="3"/>
        </w:numPr>
        <w:spacing w:after="120"/>
      </w:pPr>
      <w:r>
        <w:rPr>
          <w:rFonts w:ascii="Arial" w:cs="Arial" w:eastAsia="Arial" w:hAnsi="Arial"/>
          <w:color w:val="0A0A0A"/>
          <w:sz w:val="24"/>
          <w:szCs w:val="24"/>
        </w:rPr>
        <w:t xml:space="preserve">An insurer or affected party files an on-chain dispute against a specific attestation, posting a dispute bond in $PRZ.</w:t>
      </w:r>
    </w:p>
    <w:p>
      <w:pPr>
        <w:pStyle w:val="ListParagraph"/>
        <w:numPr>
          <w:ilvl w:val="0"/>
          <w:numId w:val="3"/>
        </w:numPr>
        <w:spacing w:after="120"/>
      </w:pPr>
      <w:r>
        <w:rPr>
          <w:rFonts w:ascii="Arial" w:cs="Arial" w:eastAsia="Arial" w:hAnsi="Arial"/>
          <w:color w:val="0A0A0A"/>
          <w:sz w:val="24"/>
          <w:szCs w:val="24"/>
        </w:rPr>
        <w:t xml:space="preserve">The attestor is notified and their stake is frozen pending resolution.</w:t>
      </w:r>
    </w:p>
    <w:p>
      <w:pPr>
        <w:pStyle w:val="ListParagraph"/>
        <w:numPr>
          <w:ilvl w:val="0"/>
          <w:numId w:val="3"/>
        </w:numPr>
        <w:spacing w:after="120"/>
      </w:pPr>
      <w:r>
        <w:rPr>
          <w:rFonts w:ascii="Arial" w:cs="Arial" w:eastAsia="Arial" w:hAnsi="Arial"/>
          <w:color w:val="0A0A0A"/>
          <w:sz w:val="24"/>
          <w:szCs w:val="24"/>
        </w:rPr>
        <w:t xml:space="preserve">A dispute resolution panel — composed of registered attestors from different jurisdictions — reviews the evidence.</w:t>
      </w:r>
    </w:p>
    <w:p>
      <w:pPr>
        <w:pStyle w:val="ListParagraph"/>
        <w:numPr>
          <w:ilvl w:val="0"/>
          <w:numId w:val="3"/>
        </w:numPr>
        <w:spacing w:after="120"/>
      </w:pPr>
      <w:r>
        <w:rPr>
          <w:rFonts w:ascii="Arial" w:cs="Arial" w:eastAsia="Arial" w:hAnsi="Arial"/>
          <w:color w:val="0A0A0A"/>
          <w:sz w:val="24"/>
          <w:szCs w:val="24"/>
        </w:rPr>
        <w:t xml:space="preserve">If upheld: the attestor’s stake is slashed and distributed to the dispute filer and the panel. The dispute bond is returned.</w:t>
      </w:r>
    </w:p>
    <w:p>
      <w:pPr>
        <w:pStyle w:val="ListParagraph"/>
        <w:numPr>
          <w:ilvl w:val="0"/>
          <w:numId w:val="3"/>
        </w:numPr>
        <w:spacing w:after="200"/>
      </w:pPr>
      <w:r>
        <w:rPr>
          <w:rFonts w:ascii="Arial" w:cs="Arial" w:eastAsia="Arial" w:hAnsi="Arial"/>
          <w:color w:val="0A0A0A"/>
          <w:sz w:val="24"/>
          <w:szCs w:val="24"/>
        </w:rPr>
        <w:t xml:space="preserve">If rejected: the dispute bond is slashed and distributed to the attestor and the panel. The attestor’s stake is unfrozen.</w:t>
      </w:r>
    </w:p>
    <w:p>
      <w:pPr>
        <w:spacing w:after="200" w:before="0"/>
        <w:jc w:val="left"/>
      </w:pPr>
      <w:r>
        <w:rPr>
          <w:rFonts w:ascii="Arial" w:cs="Arial" w:eastAsia="Arial" w:hAnsi="Arial"/>
          <w:b w:val="false"/>
          <w:bCs w:val="false"/>
          <w:i w:val="false"/>
          <w:iCs w:val="false"/>
          <w:color w:val="0A0A0A"/>
          <w:sz w:val="24"/>
          <w:szCs w:val="24"/>
        </w:rPr>
        <w:t xml:space="preserve">The dispute bond prevents frivolous accusations. The cross-jurisdictional panel prevents collusion. This mechanism is an open design problem and will be refined before deployment.</w:t>
      </w:r>
    </w:p>
    <w:p>
      <w:pPr>
        <w:pStyle w:val="Heading2"/>
        <w:spacing w:before="280" w:after="200"/>
      </w:pPr>
      <w:r>
        <w:rPr>
          <w:rFonts w:ascii="Arial" w:cs="Arial" w:eastAsia="Arial" w:hAnsi="Arial"/>
          <w:b/>
          <w:bCs/>
          <w:color w:val="0A0A0A"/>
          <w:sz w:val="30"/>
          <w:szCs w:val="30"/>
        </w:rPr>
        <w:t xml:space="preserve">6.5 Slashed Token Destination</w:t>
      </w:r>
    </w:p>
    <w:p>
      <w:pPr>
        <w:pStyle w:val="ListParagraph"/>
        <w:numPr>
          <w:ilvl w:val="0"/>
          <w:numId w:val="2"/>
        </w:numPr>
        <w:spacing w:after="120"/>
      </w:pPr>
      <w:r>
        <w:rPr>
          <w:rFonts w:ascii="Arial" w:cs="Arial" w:eastAsia="Arial" w:hAnsi="Arial"/>
          <w:b/>
          <w:bCs/>
          <w:color w:val="0A0A0A"/>
          <w:sz w:val="24"/>
          <w:szCs w:val="24"/>
        </w:rPr>
        <w:t xml:space="preserve">Burned: </w:t>
      </w:r>
      <w:r>
        <w:rPr>
          <w:rFonts w:ascii="Arial" w:cs="Arial" w:eastAsia="Arial" w:hAnsi="Arial"/>
          <w:color w:val="0A0A0A"/>
          <w:sz w:val="24"/>
          <w:szCs w:val="24"/>
        </w:rPr>
        <w:t xml:space="preserve">permanently removed from circulation. Appropriate when the goal is to penalise without enriching any party.</w:t>
      </w:r>
    </w:p>
    <w:p>
      <w:pPr>
        <w:pStyle w:val="ListParagraph"/>
        <w:numPr>
          <w:ilvl w:val="0"/>
          <w:numId w:val="2"/>
        </w:numPr>
        <w:spacing w:after="200"/>
      </w:pPr>
      <w:r>
        <w:rPr>
          <w:rFonts w:ascii="Arial" w:cs="Arial" w:eastAsia="Arial" w:hAnsi="Arial"/>
          <w:b/>
          <w:bCs/>
          <w:color w:val="0A0A0A"/>
          <w:sz w:val="24"/>
          <w:szCs w:val="24"/>
        </w:rPr>
        <w:t xml:space="preserve">Insurance pool: </w:t>
      </w:r>
      <w:r>
        <w:rPr>
          <w:rFonts w:ascii="Arial" w:cs="Arial" w:eastAsia="Arial" w:hAnsi="Arial"/>
          <w:color w:val="0A0A0A"/>
          <w:sz w:val="24"/>
          <w:szCs w:val="24"/>
        </w:rPr>
        <w:t xml:space="preserve">redirected to the claims reserve. Appropriate when the slashing event is connected to a claim payout.</w:t>
      </w:r>
    </w:p>
    <w:p>
      <w:pPr>
        <w:pStyle w:val="Heading2"/>
        <w:spacing w:before="280" w:after="200"/>
      </w:pPr>
      <w:r>
        <w:rPr>
          <w:rFonts w:ascii="Arial" w:cs="Arial" w:eastAsia="Arial" w:hAnsi="Arial"/>
          <w:b/>
          <w:bCs/>
          <w:color w:val="0A0A0A"/>
          <w:sz w:val="30"/>
          <w:szCs w:val="30"/>
        </w:rPr>
        <w:t xml:space="preserve">6.6 Supply Impact of Staking</w:t>
      </w:r>
    </w:p>
    <w:p>
      <w:pPr>
        <w:spacing w:after="200" w:before="0"/>
        <w:jc w:val="left"/>
      </w:pPr>
      <w:r>
        <w:rPr>
          <w:rFonts w:ascii="Arial" w:cs="Arial" w:eastAsia="Arial" w:hAnsi="Arial"/>
          <w:b w:val="false"/>
          <w:bCs w:val="false"/>
          <w:i w:val="false"/>
          <w:iCs w:val="false"/>
          <w:color w:val="0A0A0A"/>
          <w:sz w:val="24"/>
          <w:szCs w:val="24"/>
        </w:rPr>
        <w:t xml:space="preserve">Staking creates a third supply dynamic alongside emissions and burns:</w:t>
      </w:r>
    </w:p>
    <w:p>
      <w:pPr>
        <w:pStyle w:val="ListParagraph"/>
        <w:numPr>
          <w:ilvl w:val="0"/>
          <w:numId w:val="2"/>
        </w:numPr>
        <w:spacing w:after="120"/>
      </w:pPr>
      <w:r>
        <w:rPr>
          <w:rFonts w:ascii="Arial" w:cs="Arial" w:eastAsia="Arial" w:hAnsi="Arial"/>
          <w:b/>
          <w:bCs/>
          <w:color w:val="0A0A0A"/>
          <w:sz w:val="24"/>
          <w:szCs w:val="24"/>
        </w:rPr>
        <w:t xml:space="preserve">Emissions </w:t>
      </w:r>
      <w:r>
        <w:rPr>
          <w:rFonts w:ascii="Arial" w:cs="Arial" w:eastAsia="Arial" w:hAnsi="Arial"/>
          <w:color w:val="0A0A0A"/>
          <w:sz w:val="24"/>
          <w:szCs w:val="24"/>
        </w:rPr>
        <w:t xml:space="preserve">(inverse sigmoid) add tokens to circulation.</w:t>
      </w:r>
    </w:p>
    <w:p>
      <w:pPr>
        <w:pStyle w:val="ListParagraph"/>
        <w:numPr>
          <w:ilvl w:val="0"/>
          <w:numId w:val="2"/>
        </w:numPr>
        <w:spacing w:after="120"/>
      </w:pPr>
      <w:r>
        <w:rPr>
          <w:rFonts w:ascii="Arial" w:cs="Arial" w:eastAsia="Arial" w:hAnsi="Arial"/>
          <w:b/>
          <w:bCs/>
          <w:color w:val="0A0A0A"/>
          <w:sz w:val="24"/>
          <w:szCs w:val="24"/>
        </w:rPr>
        <w:t xml:space="preserve">Burns </w:t>
      </w:r>
      <w:r>
        <w:rPr>
          <w:rFonts w:ascii="Arial" w:cs="Arial" w:eastAsia="Arial" w:hAnsi="Arial"/>
          <w:color w:val="0A0A0A"/>
          <w:sz w:val="24"/>
          <w:szCs w:val="24"/>
        </w:rPr>
        <w:t xml:space="preserve">(linear, from creation and read fees) remove tokens permanently.</w:t>
      </w:r>
    </w:p>
    <w:p>
      <w:pPr>
        <w:pStyle w:val="ListParagraph"/>
        <w:numPr>
          <w:ilvl w:val="0"/>
          <w:numId w:val="2"/>
        </w:numPr>
        <w:spacing w:after="200"/>
      </w:pPr>
      <w:r>
        <w:rPr>
          <w:rFonts w:ascii="Arial" w:cs="Arial" w:eastAsia="Arial" w:hAnsi="Arial"/>
          <w:b/>
          <w:bCs/>
          <w:color w:val="0A0A0A"/>
          <w:sz w:val="24"/>
          <w:szCs w:val="24"/>
        </w:rPr>
        <w:t xml:space="preserve">Staking locks </w:t>
      </w:r>
      <w:r>
        <w:rPr>
          <w:rFonts w:ascii="Arial" w:cs="Arial" w:eastAsia="Arial" w:hAnsi="Arial"/>
          <w:color w:val="0A0A0A"/>
          <w:sz w:val="24"/>
          <w:szCs w:val="24"/>
        </w:rPr>
        <w:t xml:space="preserve">(step function, increasing with each registration) remove tokens from available supply without destroying them.</w:t>
      </w:r>
    </w:p>
    <w:p>
      <w:pPr>
        <w:spacing w:after="200" w:before="0"/>
        <w:jc w:val="left"/>
      </w:pPr>
      <w:r>
        <w:rPr>
          <w:rFonts w:ascii="Arial" w:cs="Arial" w:eastAsia="Arial" w:hAnsi="Arial"/>
          <w:b w:val="false"/>
          <w:bCs w:val="false"/>
          <w:i w:val="false"/>
          <w:iCs w:val="false"/>
          <w:color w:val="0A0A0A"/>
          <w:sz w:val="24"/>
          <w:szCs w:val="24"/>
        </w:rPr>
        <w:t xml:space="preserve">As the registry grows, more tokens are locked. This is deflationary pressure that compounds with the burn mechanism.</w:t>
      </w:r>
    </w:p>
    <w:p>
      <w:r>
        <w:br w:type="page"/>
      </w:r>
    </w:p>
    <w:p>
      <w:pPr>
        <w:pStyle w:val="Heading1"/>
        <w:spacing w:before="360" w:after="200"/>
      </w:pPr>
      <w:r>
        <w:rPr>
          <w:rFonts w:ascii="Arial" w:cs="Arial" w:eastAsia="Arial" w:hAnsi="Arial"/>
          <w:b/>
          <w:bCs/>
          <w:color w:val="0A0A0A"/>
          <w:sz w:val="36"/>
          <w:szCs w:val="36"/>
        </w:rPr>
        <w:t xml:space="preserve">7. Read-Fee Model and Privacy Economics</w:t>
      </w:r>
    </w:p>
    <w:p>
      <w:pPr>
        <w:spacing w:after="200" w:before="0"/>
        <w:jc w:val="left"/>
      </w:pPr>
      <w:r>
        <w:rPr>
          <w:rFonts w:ascii="Arial" w:cs="Arial" w:eastAsia="Arial" w:hAnsi="Arial"/>
          <w:b w:val="false"/>
          <w:bCs w:val="false"/>
          <w:i w:val="false"/>
          <w:iCs w:val="false"/>
          <w:color w:val="0A0A0A"/>
          <w:sz w:val="24"/>
          <w:szCs w:val="24"/>
        </w:rPr>
        <w:t xml:space="preserve">This section introduces the mechanism by which attestation data access is monetised, and explains how the fee structure simultaneously generates revenue and protects privacy.</w:t>
      </w:r>
    </w:p>
    <w:p>
      <w:pPr>
        <w:pStyle w:val="Heading2"/>
        <w:spacing w:before="280" w:after="200"/>
      </w:pPr>
      <w:r>
        <w:rPr>
          <w:rFonts w:ascii="Arial" w:cs="Arial" w:eastAsia="Arial" w:hAnsi="Arial"/>
          <w:b/>
          <w:bCs/>
          <w:color w:val="0A0A0A"/>
          <w:sz w:val="30"/>
          <w:szCs w:val="30"/>
        </w:rPr>
        <w:t xml:space="preserve">7.1 Attestations as Revenue-Generating Assets</w:t>
      </w:r>
    </w:p>
    <w:p>
      <w:pPr>
        <w:spacing w:after="200" w:before="0"/>
        <w:jc w:val="left"/>
      </w:pPr>
      <w:r>
        <w:rPr>
          <w:rFonts w:ascii="Arial" w:cs="Arial" w:eastAsia="Arial" w:hAnsi="Arial"/>
          <w:b w:val="false"/>
          <w:bCs w:val="false"/>
          <w:i w:val="false"/>
          <w:iCs w:val="false"/>
          <w:color w:val="0A0A0A"/>
          <w:sz w:val="24"/>
          <w:szCs w:val="24"/>
        </w:rPr>
        <w:t xml:space="preserve">In the base protocol design, an attestation is a cost — the wallet holder pays for the solicitor’s time and the on-chain attestation fee. The read-fee model inverts this relationship.</w:t>
      </w:r>
    </w:p>
    <w:p>
      <w:pPr>
        <w:spacing w:after="200" w:before="0"/>
        <w:jc w:val="left"/>
      </w:pPr>
      <w:r>
        <w:rPr>
          <w:rFonts w:ascii="Arial" w:cs="Arial" w:eastAsia="Arial" w:hAnsi="Arial"/>
          <w:b w:val="false"/>
          <w:bCs w:val="false"/>
          <w:i w:val="false"/>
          <w:iCs w:val="false"/>
          <w:color w:val="0A0A0A"/>
          <w:sz w:val="24"/>
          <w:szCs w:val="24"/>
        </w:rPr>
        <w:t xml:space="preserve">Every time a protocol or third party reads an attestation blob — to verify a boolean fact about a wallet holder — they pay a read fee denominated in $PRZ. This fee is split between three parties:</w:t>
      </w:r>
    </w:p>
    <w:p>
      <w:pPr>
        <w:pStyle w:val="ListParagraph"/>
        <w:numPr>
          <w:ilvl w:val="0"/>
          <w:numId w:val="3"/>
        </w:numPr>
        <w:spacing w:after="120"/>
      </w:pPr>
      <w:r>
        <w:rPr>
          <w:rFonts w:ascii="Arial" w:cs="Arial" w:eastAsia="Arial" w:hAnsi="Arial"/>
          <w:b/>
          <w:bCs/>
          <w:color w:val="0A0A0A"/>
          <w:sz w:val="24"/>
          <w:szCs w:val="24"/>
        </w:rPr>
        <w:t xml:space="preserve">The wallet holder </w:t>
      </w:r>
      <w:r>
        <w:rPr>
          <w:rFonts w:ascii="Arial" w:cs="Arial" w:eastAsia="Arial" w:hAnsi="Arial"/>
          <w:color w:val="0A0A0A"/>
          <w:sz w:val="24"/>
          <w:szCs w:val="24"/>
        </w:rPr>
        <w:t xml:space="preserve">— the person whose fact is being verified. They created the attestation and bear the privacy exposure of having it read.</w:t>
      </w:r>
    </w:p>
    <w:p>
      <w:pPr>
        <w:pStyle w:val="ListParagraph"/>
        <w:numPr>
          <w:ilvl w:val="0"/>
          <w:numId w:val="3"/>
        </w:numPr>
        <w:spacing w:after="120"/>
      </w:pPr>
      <w:r>
        <w:rPr>
          <w:rFonts w:ascii="Arial" w:cs="Arial" w:eastAsia="Arial" w:hAnsi="Arial"/>
          <w:b/>
          <w:bCs/>
          <w:color w:val="0A0A0A"/>
          <w:sz w:val="24"/>
          <w:szCs w:val="24"/>
        </w:rPr>
        <w:t xml:space="preserve">The attestor </w:t>
      </w:r>
      <w:r>
        <w:rPr>
          <w:rFonts w:ascii="Arial" w:cs="Arial" w:eastAsia="Arial" w:hAnsi="Arial"/>
          <w:color w:val="0A0A0A"/>
          <w:sz w:val="24"/>
          <w:szCs w:val="24"/>
        </w:rPr>
        <w:t xml:space="preserve">— the legal professional who signed the attestation. They bear ongoing reputational and legal risk for every attestation they’ve signed.</w:t>
      </w:r>
    </w:p>
    <w:p>
      <w:pPr>
        <w:pStyle w:val="ListParagraph"/>
        <w:numPr>
          <w:ilvl w:val="0"/>
          <w:numId w:val="3"/>
        </w:numPr>
        <w:spacing w:after="200"/>
      </w:pPr>
      <w:r>
        <w:rPr>
          <w:rFonts w:ascii="Arial" w:cs="Arial" w:eastAsia="Arial" w:hAnsi="Arial"/>
          <w:b/>
          <w:bCs/>
          <w:color w:val="0A0A0A"/>
          <w:sz w:val="24"/>
          <w:szCs w:val="24"/>
        </w:rPr>
        <w:t xml:space="preserve">The protocol burn </w:t>
      </w:r>
      <w:r>
        <w:rPr>
          <w:rFonts w:ascii="Arial" w:cs="Arial" w:eastAsia="Arial" w:hAnsi="Arial"/>
          <w:color w:val="0A0A0A"/>
          <w:sz w:val="24"/>
          <w:szCs w:val="24"/>
        </w:rPr>
        <w:t xml:space="preserve">— a portion of every read fee is permanently burned, creating deflationary pressure proportional to attestation demand.</w:t>
      </w:r>
    </w:p>
    <w:p>
      <w:pPr>
        <w:spacing w:after="200" w:before="0"/>
        <w:jc w:val="left"/>
      </w:pPr>
      <w:r>
        <w:rPr>
          <w:rFonts w:ascii="Arial" w:cs="Arial" w:eastAsia="Arial" w:hAnsi="Arial"/>
          <w:b w:val="false"/>
          <w:bCs w:val="false"/>
          <w:i w:val="false"/>
          <w:iCs w:val="false"/>
          <w:color w:val="0A0A0A"/>
          <w:sz w:val="24"/>
          <w:szCs w:val="24"/>
        </w:rPr>
        <w:t xml:space="preserve">This three-way split means that every attestation becomes a revenue-generating asset for both the wallet holder and the attestor. The wallet holder earns passive income from facts they’ve proven. The attestor earns residual income from every attestation they’ve ever signed. The protocol benefits from increased burn volume.</w:t>
      </w:r>
    </w:p>
    <w:p>
      <w:pPr>
        <w:pStyle w:val="Heading2"/>
        <w:spacing w:before="280" w:after="200"/>
      </w:pPr>
      <w:r>
        <w:rPr>
          <w:rFonts w:ascii="Arial" w:cs="Arial" w:eastAsia="Arial" w:hAnsi="Arial"/>
          <w:b/>
          <w:bCs/>
          <w:color w:val="0A0A0A"/>
          <w:sz w:val="30"/>
          <w:szCs w:val="30"/>
        </w:rPr>
        <w:t xml:space="preserve">7.2 Incentive Inversion</w:t>
      </w:r>
    </w:p>
    <w:p>
      <w:pPr>
        <w:spacing w:after="200" w:before="0"/>
        <w:jc w:val="left"/>
      </w:pPr>
      <w:r>
        <w:rPr>
          <w:rFonts w:ascii="Arial" w:cs="Arial" w:eastAsia="Arial" w:hAnsi="Arial"/>
          <w:b w:val="false"/>
          <w:bCs w:val="false"/>
          <w:i w:val="false"/>
          <w:iCs w:val="false"/>
          <w:color w:val="0A0A0A"/>
          <w:sz w:val="24"/>
          <w:szCs w:val="24"/>
        </w:rPr>
        <w:t xml:space="preserve">The read-fee model fundamentally changes the adoption incentive structure:</w:t>
      </w:r>
    </w:p>
    <w:p>
      <w:pPr>
        <w:pStyle w:val="ListParagraph"/>
        <w:numPr>
          <w:ilvl w:val="0"/>
          <w:numId w:val="2"/>
        </w:numPr>
        <w:spacing w:after="120"/>
      </w:pPr>
      <w:r>
        <w:rPr>
          <w:rFonts w:ascii="Arial" w:cs="Arial" w:eastAsia="Arial" w:hAnsi="Arial"/>
          <w:b/>
          <w:bCs/>
          <w:color w:val="0A0A0A"/>
          <w:sz w:val="24"/>
          <w:szCs w:val="24"/>
        </w:rPr>
        <w:t xml:space="preserve">Without read fees: </w:t>
      </w:r>
      <w:r>
        <w:rPr>
          <w:rFonts w:ascii="Arial" w:cs="Arial" w:eastAsia="Arial" w:hAnsi="Arial"/>
          <w:color w:val="0A0A0A"/>
          <w:sz w:val="24"/>
          <w:szCs w:val="24"/>
        </w:rPr>
        <w:t xml:space="preserve">getting an attestation is a cost borne reluctantly because an insurer or lender requires it.</w:t>
      </w:r>
    </w:p>
    <w:p>
      <w:pPr>
        <w:pStyle w:val="ListParagraph"/>
        <w:numPr>
          <w:ilvl w:val="0"/>
          <w:numId w:val="2"/>
        </w:numPr>
        <w:spacing w:after="200"/>
      </w:pPr>
      <w:r>
        <w:rPr>
          <w:rFonts w:ascii="Arial" w:cs="Arial" w:eastAsia="Arial" w:hAnsi="Arial"/>
          <w:b/>
          <w:bCs/>
          <w:color w:val="0A0A0A"/>
          <w:sz w:val="24"/>
          <w:szCs w:val="24"/>
        </w:rPr>
        <w:t xml:space="preserve">With read fees: </w:t>
      </w:r>
      <w:r>
        <w:rPr>
          <w:rFonts w:ascii="Arial" w:cs="Arial" w:eastAsia="Arial" w:hAnsi="Arial"/>
          <w:color w:val="0A0A0A"/>
          <w:sz w:val="24"/>
          <w:szCs w:val="24"/>
        </w:rPr>
        <w:t xml:space="preserve">getting an attestation is an investment. Every boolean fact you notarise is a potential income stream. Wallet holders are incentivised to notarise every provable fact about themselves — age, residency, credentials, security practices — because each one earns revenue when queried.</w:t>
      </w:r>
    </w:p>
    <w:p>
      <w:pPr>
        <w:spacing w:after="200" w:before="0"/>
        <w:jc w:val="left"/>
      </w:pPr>
      <w:r>
        <w:rPr>
          <w:rFonts w:ascii="Arial" w:cs="Arial" w:eastAsia="Arial" w:hAnsi="Arial"/>
          <w:b w:val="false"/>
          <w:bCs w:val="false"/>
          <w:i w:val="false"/>
          <w:iCs w:val="false"/>
          <w:color w:val="0A0A0A"/>
          <w:sz w:val="24"/>
          <w:szCs w:val="24"/>
        </w:rPr>
        <w:t xml:space="preserve">For attestors, the incentive is equally powerful. A solicitor who signs attestations isn’t just earning a one-time witnessing fee. They’re building a portfolio of signed attestations that generates residual income in perpetuity. The more attestations they sign, the more they earn. This is the incentive that gets the first solicitor to register — not “join our blockchain protocol” but “every statutory declaration you witness earns you money forever.”</w:t>
      </w:r>
    </w:p>
    <w:p>
      <w:pPr>
        <w:pStyle w:val="Heading2"/>
        <w:spacing w:before="280" w:after="200"/>
      </w:pPr>
      <w:r>
        <w:rPr>
          <w:rFonts w:ascii="Arial" w:cs="Arial" w:eastAsia="Arial" w:hAnsi="Arial"/>
          <w:b/>
          <w:bCs/>
          <w:color w:val="0A0A0A"/>
          <w:sz w:val="30"/>
          <w:szCs w:val="30"/>
        </w:rPr>
        <w:t xml:space="preserve">7.3 The Privacy Tax</w:t>
      </w:r>
    </w:p>
    <w:p>
      <w:pPr>
        <w:spacing w:after="200" w:before="0"/>
        <w:jc w:val="left"/>
      </w:pPr>
      <w:r>
        <w:rPr>
          <w:rFonts w:ascii="Arial" w:cs="Arial" w:eastAsia="Arial" w:hAnsi="Arial"/>
          <w:b w:val="false"/>
          <w:bCs w:val="false"/>
          <w:i w:val="false"/>
          <w:iCs w:val="false"/>
          <w:color w:val="0A0A0A"/>
          <w:sz w:val="24"/>
          <w:szCs w:val="24"/>
        </w:rPr>
        <w:t xml:space="preserve">The read fee is not merely a payment for data access. It is a privacy protection mechanism.</w:t>
      </w:r>
    </w:p>
    <w:p>
      <w:pPr>
        <w:spacing w:after="200" w:before="0"/>
        <w:jc w:val="left"/>
      </w:pPr>
      <w:r>
        <w:rPr>
          <w:rFonts w:ascii="Arial" w:cs="Arial" w:eastAsia="Arial" w:hAnsi="Arial"/>
          <w:b w:val="false"/>
          <w:bCs w:val="false"/>
          <w:i w:val="false"/>
          <w:iCs w:val="false"/>
          <w:color w:val="0A0A0A"/>
          <w:sz w:val="24"/>
          <w:szCs w:val="24"/>
        </w:rPr>
        <w:t xml:space="preserve">Each boolean attestation is individually harmless. “This wallet’s holder is over 18” reveals almost nothing. But booleans compose. “Over 18 + resident of Australia + holds a law degree + no criminal record + registered before 2027” dramatically narrows the set of possible identities. At some point, the intersection of true booleans becomes a fingerprint.</w:t>
      </w:r>
    </w:p>
    <w:p>
      <w:pPr>
        <w:spacing w:after="200" w:before="0"/>
        <w:jc w:val="left"/>
      </w:pPr>
      <w:r>
        <w:rPr>
          <w:rFonts w:ascii="Arial" w:cs="Arial" w:eastAsia="Arial" w:hAnsi="Arial"/>
          <w:b w:val="false"/>
          <w:bCs w:val="false"/>
          <w:i w:val="false"/>
          <w:iCs w:val="false"/>
          <w:color w:val="0A0A0A"/>
          <w:sz w:val="24"/>
          <w:szCs w:val="24"/>
        </w:rPr>
        <w:t xml:space="preserve">The read fee makes this composition expensive. A single protocol checking one boolean to underwrite a policy pays a small, rational fee. But an adversary attempting to read every boolean attached to a wallet — or scanning booleans across thousands of wallets to build identity profiles — faces costs that scale with the scope of their surveillance.</w:t>
      </w:r>
    </w:p>
    <w:p>
      <w:pPr>
        <w:pStyle w:val="Heading2"/>
        <w:spacing w:before="280" w:after="200"/>
      </w:pPr>
      <w:r>
        <w:rPr>
          <w:rFonts w:ascii="Arial" w:cs="Arial" w:eastAsia="Arial" w:hAnsi="Arial"/>
          <w:b/>
          <w:bCs/>
          <w:color w:val="0A0A0A"/>
          <w:sz w:val="30"/>
          <w:szCs w:val="30"/>
        </w:rPr>
        <w:t xml:space="preserve">7.4 Pricing Structure</w:t>
      </w:r>
    </w:p>
    <w:p>
      <w:pPr>
        <w:spacing w:after="200" w:before="0"/>
        <w:jc w:val="left"/>
      </w:pPr>
      <w:r>
        <w:rPr>
          <w:rFonts w:ascii="Arial" w:cs="Arial" w:eastAsia="Arial" w:hAnsi="Arial"/>
          <w:b w:val="false"/>
          <w:bCs w:val="false"/>
          <w:i w:val="false"/>
          <w:iCs w:val="false"/>
          <w:color w:val="0A0A0A"/>
          <w:sz w:val="24"/>
          <w:szCs w:val="24"/>
        </w:rPr>
        <w:t xml:space="preserve">The base read fee is set at a level that is globally accessible for legitimate one-off queries but becomes prohibitively expensive for bulk profiling: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026"/>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Base read fee</w:t>
            </w:r>
          </w:p>
        </w:tc>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$2.50 equivalent in $PRZ</w:t>
            </w:r>
          </w:p>
        </w:tc>
        <w:tc>
          <w:tcPr>
            <w:tcW w:type="dxa" w:w="4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Accessible for any single protocol query. Negligible against the value of an insurance policy or loan.</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Scaling mechanism</w:t>
            </w:r>
          </w:p>
        </w:tc>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Escalating per additional boolean on same wallet in same session</w:t>
            </w:r>
          </w:p>
        </w:tc>
        <w:tc>
          <w:tcPr>
            <w:tcW w:type="dxa" w:w="4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Makes comprehensive profiling of a single wallet increasingly expensive.</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Wallet holder share</w:t>
            </w:r>
          </w:p>
        </w:tc>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[TBD]% of read fee</w:t>
            </w:r>
          </w:p>
        </w:tc>
        <w:tc>
          <w:tcPr>
            <w:tcW w:type="dxa" w:w="4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Compensation for privacy exposure and incentive to notarise facts.</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Attestor share</w:t>
            </w:r>
          </w:p>
        </w:tc>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[TBD]% of read fee</w:t>
            </w:r>
          </w:p>
        </w:tc>
        <w:tc>
          <w:tcPr>
            <w:tcW w:type="dxa" w:w="4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Residual income for ongoing reputational and legal risk.</w:t>
            </w:r>
          </w:p>
        </w:tc>
      </w:tr>
      <w:tr>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Protocol burn</w:t>
            </w:r>
          </w:p>
        </w:tc>
        <w:tc>
          <w:tcPr>
            <w:tcW w:type="dxa" w:w="25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[TBD]% of read fee</w:t>
            </w:r>
          </w:p>
        </w:tc>
        <w:tc>
          <w:tcPr>
            <w:tcW w:type="dxa" w:w="40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Deflationary mechanism proportional to attestation demand.</w:t>
            </w:r>
          </w:p>
        </w:tc>
      </w:tr>
    </w:tbl>
    <w:p>
      <w:pPr>
        <w:spacing w:after="200" w:before="0"/>
        <w:jc w:val="left"/>
      </w:pPr>
      <w:r>
        <w:rPr>
          <w:rFonts w:ascii="Arial" w:cs="Arial" w:eastAsia="Arial" w:hAnsi="Arial"/>
          <w:b w:val="false"/>
          <w:bCs w:val="false"/>
          <w:i w:val="false"/>
          <w:iCs w:val="false"/>
          <w:color w:val="0A0A0A"/>
          <w:sz w:val="24"/>
          <w:szCs w:val="24"/>
        </w:rPr>
        <w:t xml:space="preserve">The escalating fee for multiple reads on the same wallet is the key anti-profiling mechanism. Reading the first boolean costs the base rate. The fifth boolean on the same wallet in the same session costs significantly more. The tenth costs more still. The exact escalation curve is an open parameter.</w:t>
      </w:r>
    </w:p>
    <w:p>
      <w:pPr>
        <w:pStyle w:val="Heading2"/>
        <w:spacing w:before="280" w:after="200"/>
      </w:pPr>
      <w:r>
        <w:rPr>
          <w:rFonts w:ascii="Arial" w:cs="Arial" w:eastAsia="Arial" w:hAnsi="Arial"/>
          <w:b/>
          <w:bCs/>
          <w:color w:val="0A0A0A"/>
          <w:sz w:val="30"/>
          <w:szCs w:val="30"/>
        </w:rPr>
        <w:t xml:space="preserve">7.5 Monotonic vs Temporal Booleans</w:t>
      </w:r>
    </w:p>
    <w:p>
      <w:pPr>
        <w:spacing w:after="200" w:before="0"/>
        <w:jc w:val="left"/>
      </w:pPr>
      <w:r>
        <w:rPr>
          <w:rFonts w:ascii="Arial" w:cs="Arial" w:eastAsia="Arial" w:hAnsi="Arial"/>
          <w:b w:val="false"/>
          <w:bCs w:val="false"/>
          <w:i w:val="false"/>
          <w:iCs w:val="false"/>
          <w:color w:val="0A0A0A"/>
          <w:sz w:val="24"/>
          <w:szCs w:val="24"/>
        </w:rPr>
        <w:t xml:space="preserve">Not all attestations have the same economic profile. The protocol distinguishes between two categories:</w:t>
      </w:r>
    </w:p>
    <w:p>
      <w:pPr>
        <w:pStyle w:val="ListParagraph"/>
        <w:numPr>
          <w:ilvl w:val="0"/>
          <w:numId w:val="2"/>
        </w:numPr>
        <w:spacing w:after="120"/>
      </w:pPr>
      <w:r>
        <w:rPr>
          <w:rFonts w:ascii="Arial" w:cs="Arial" w:eastAsia="Arial" w:hAnsi="Arial"/>
          <w:b/>
          <w:bCs/>
          <w:color w:val="0A0A0A"/>
          <w:sz w:val="24"/>
          <w:szCs w:val="24"/>
        </w:rPr>
        <w:t xml:space="preserve">Monotonic booleans: </w:t>
      </w:r>
      <w:r>
        <w:rPr>
          <w:rFonts w:ascii="Arial" w:cs="Arial" w:eastAsia="Arial" w:hAnsi="Arial"/>
          <w:color w:val="0A0A0A"/>
          <w:sz w:val="24"/>
          <w:szCs w:val="24"/>
        </w:rPr>
        <w:t xml:space="preserve">facts that, once true, are true forever. Age thresholds (“over 18”), citizenship, educational credentials, historical events (“was alive on this date”). These are notarised once and generate read revenue indefinitely. They are one-time costs that become permanent assets.</w:t>
      </w:r>
    </w:p>
    <w:p>
      <w:pPr>
        <w:pStyle w:val="ListParagraph"/>
        <w:numPr>
          <w:ilvl w:val="0"/>
          <w:numId w:val="2"/>
        </w:numPr>
        <w:spacing w:after="200"/>
      </w:pPr>
      <w:r>
        <w:rPr>
          <w:rFonts w:ascii="Arial" w:cs="Arial" w:eastAsia="Arial" w:hAnsi="Arial"/>
          <w:b/>
          <w:bCs/>
          <w:color w:val="0A0A0A"/>
          <w:sz w:val="24"/>
          <w:szCs w:val="24"/>
        </w:rPr>
        <w:t xml:space="preserve">Temporal booleans: </w:t>
      </w:r>
      <w:r>
        <w:rPr>
          <w:rFonts w:ascii="Arial" w:cs="Arial" w:eastAsia="Arial" w:hAnsi="Arial"/>
          <w:color w:val="0A0A0A"/>
          <w:sz w:val="24"/>
          <w:szCs w:val="24"/>
        </w:rPr>
        <w:t xml:space="preserve">facts that may change over time. “No prior insurance claims.” “Currently employed.” “Uses air-gapped signing.” These require periodic re-attestation — every 6 or 12 months — and each re-attestation incurs a new creation fee and generates a new attestation blob.</w:t>
      </w:r>
    </w:p>
    <w:p>
      <w:pPr>
        <w:spacing w:after="200" w:before="0"/>
        <w:jc w:val="left"/>
      </w:pPr>
      <w:r>
        <w:rPr>
          <w:rFonts w:ascii="Arial" w:cs="Arial" w:eastAsia="Arial" w:hAnsi="Arial"/>
          <w:b w:val="false"/>
          <w:bCs w:val="false"/>
          <w:i w:val="false"/>
          <w:iCs w:val="false"/>
          <w:color w:val="0A0A0A"/>
          <w:sz w:val="24"/>
          <w:szCs w:val="24"/>
        </w:rPr>
        <w:t xml:space="preserve">Monotonic booleans provide one-time creation revenue but permanent read revenue. Temporal booleans provide recurring creation revenue and recurring read revenue. Both contribute to the burn mechanism through their respective fees.</w:t>
      </w:r>
    </w:p>
    <w:p>
      <w:pPr>
        <w:pStyle w:val="Heading2"/>
        <w:spacing w:before="280" w:after="200"/>
      </w:pPr>
      <w:r>
        <w:rPr>
          <w:rFonts w:ascii="Arial" w:cs="Arial" w:eastAsia="Arial" w:hAnsi="Arial"/>
          <w:b/>
          <w:bCs/>
          <w:color w:val="0A0A0A"/>
          <w:sz w:val="30"/>
          <w:szCs w:val="30"/>
        </w:rPr>
        <w:t xml:space="preserve">7.6 User Sovereignty and Profile Management</w:t>
      </w:r>
    </w:p>
    <w:p>
      <w:pPr>
        <w:spacing w:after="200" w:before="0"/>
        <w:jc w:val="left"/>
      </w:pPr>
      <w:r>
        <w:rPr>
          <w:rFonts w:ascii="Arial" w:cs="Arial" w:eastAsia="Arial" w:hAnsi="Arial"/>
          <w:b w:val="false"/>
          <w:bCs w:val="false"/>
          <w:i w:val="false"/>
          <w:iCs w:val="false"/>
          <w:color w:val="0A0A0A"/>
          <w:sz w:val="24"/>
          <w:szCs w:val="24"/>
        </w:rPr>
        <w:t xml:space="preserve">The protocol does not prevent a wallet holder from attaching many booleans to a single wallet. But it provides clear guidance and tooling to manage privacy exposure:</w:t>
      </w:r>
    </w:p>
    <w:p>
      <w:pPr>
        <w:pStyle w:val="ListParagraph"/>
        <w:numPr>
          <w:ilvl w:val="0"/>
          <w:numId w:val="2"/>
        </w:numPr>
        <w:spacing w:after="120"/>
      </w:pPr>
      <w:r>
        <w:rPr>
          <w:rFonts w:ascii="Arial" w:cs="Arial" w:eastAsia="Arial" w:hAnsi="Arial"/>
          <w:color w:val="0A0A0A"/>
          <w:sz w:val="24"/>
          <w:szCs w:val="24"/>
        </w:rPr>
        <w:t xml:space="preserve">Wallet holders are warned that the intersection of multiple booleans may narrow their anonymity set.</w:t>
      </w:r>
    </w:p>
    <w:p>
      <w:pPr>
        <w:pStyle w:val="ListParagraph"/>
        <w:numPr>
          <w:ilvl w:val="0"/>
          <w:numId w:val="2"/>
        </w:numPr>
        <w:spacing w:after="120"/>
      </w:pPr>
      <w:r>
        <w:rPr>
          <w:rFonts w:ascii="Arial" w:cs="Arial" w:eastAsia="Arial" w:hAnsi="Arial"/>
          <w:color w:val="0A0A0A"/>
          <w:sz w:val="24"/>
          <w:szCs w:val="24"/>
        </w:rPr>
        <w:t xml:space="preserve">The protocol encourages distributing attestations across multiple wallets — security booleans on the insurance wallet, income booleans on the lending wallet, age booleans on the general-purpose wallet.</w:t>
      </w:r>
    </w:p>
    <w:p>
      <w:pPr>
        <w:pStyle w:val="ListParagraph"/>
        <w:numPr>
          <w:ilvl w:val="0"/>
          <w:numId w:val="2"/>
        </w:numPr>
        <w:spacing w:after="200"/>
      </w:pPr>
      <w:r>
        <w:rPr>
          <w:rFonts w:ascii="Arial" w:cs="Arial" w:eastAsia="Arial" w:hAnsi="Arial"/>
          <w:color w:val="0A0A0A"/>
          <w:sz w:val="24"/>
          <w:szCs w:val="24"/>
        </w:rPr>
        <w:t xml:space="preserve">The escalating read fee for multiple booleans on a single wallet creates an economic signal — if someone is reading many of your booleans, you’re earning more per read, compensating for the increased privacy exposure.</w:t>
      </w:r>
    </w:p>
    <w:p>
      <w:pPr>
        <w:spacing w:after="200" w:before="0"/>
        <w:jc w:val="left"/>
      </w:pPr>
      <w:r>
        <w:rPr>
          <w:rFonts w:ascii="Arial" w:cs="Arial" w:eastAsia="Arial" w:hAnsi="Arial"/>
          <w:b w:val="false"/>
          <w:bCs w:val="false"/>
          <w:i w:val="false"/>
          <w:iCs w:val="false"/>
          <w:color w:val="0A0A0A"/>
          <w:sz w:val="24"/>
          <w:szCs w:val="24"/>
        </w:rPr>
        <w:t xml:space="preserve">Wallet holders control their own exposure. The protocol provides the economic incentives and the tooling. The decision is theirs.</w:t>
      </w:r>
    </w:p>
    <w:p>
      <w:pPr>
        <w:pStyle w:val="Heading2"/>
        <w:spacing w:before="280" w:after="200"/>
      </w:pPr>
      <w:r>
        <w:rPr>
          <w:rFonts w:ascii="Arial" w:cs="Arial" w:eastAsia="Arial" w:hAnsi="Arial"/>
          <w:b/>
          <w:bCs/>
          <w:color w:val="0A0A0A"/>
          <w:sz w:val="30"/>
          <w:szCs w:val="30"/>
        </w:rPr>
        <w:t xml:space="preserve">7.7 The Graph Analogy</w:t>
      </w:r>
    </w:p>
    <w:p>
      <w:pPr>
        <w:spacing w:after="200" w:before="0"/>
        <w:jc w:val="left"/>
      </w:pPr>
      <w:r>
        <w:rPr>
          <w:rFonts w:ascii="Arial" w:cs="Arial" w:eastAsia="Arial" w:hAnsi="Arial"/>
          <w:b w:val="false"/>
          <w:bCs w:val="false"/>
          <w:i w:val="false"/>
          <w:iCs w:val="false"/>
          <w:color w:val="0A0A0A"/>
          <w:sz w:val="24"/>
          <w:szCs w:val="24"/>
        </w:rPr>
        <w:t xml:space="preserve">The read-fee model is analogous to The Graph’s subgraph query market. The Graph does not own on-chain data — it provides structured access to it, and the people who build subgraphs earn fees when others query them.</w:t>
      </w:r>
    </w:p>
    <w:p>
      <w:pPr>
        <w:spacing w:after="200" w:before="0"/>
        <w:jc w:val="left"/>
      </w:pPr>
      <w:r>
        <w:rPr>
          <w:rFonts w:ascii="Arial" w:cs="Arial" w:eastAsia="Arial" w:hAnsi="Arial"/>
          <w:b w:val="false"/>
          <w:bCs w:val="false"/>
          <w:i w:val="false"/>
          <w:iCs w:val="false"/>
          <w:color w:val="0A0A0A"/>
          <w:sz w:val="24"/>
          <w:szCs w:val="24"/>
        </w:rPr>
        <w:t xml:space="preserve">Notachain attestation blobs are the same pattern. The attestation data lives on IPFS. The on-chain record is the index. The blob is the queryable payload. And the person who created that payload — the wallet holder — earns when someone queries it.</w:t>
      </w:r>
    </w:p>
    <w:p>
      <w:pPr>
        <w:spacing w:after="200" w:before="0"/>
        <w:jc w:val="left"/>
      </w:pPr>
      <w:r>
        <w:rPr>
          <w:rFonts w:ascii="Arial" w:cs="Arial" w:eastAsia="Arial" w:hAnsi="Arial"/>
          <w:b w:val="false"/>
          <w:bCs w:val="false"/>
          <w:i w:val="false"/>
          <w:iCs w:val="false"/>
          <w:color w:val="0A0A0A"/>
          <w:sz w:val="24"/>
          <w:szCs w:val="24"/>
        </w:rPr>
        <w:t xml:space="preserve">The critical difference is that Notachain’s fee is not merely for the convenience of structured access. It is a privacy-preserving mechanism that makes individual queries economically rational and bulk surveillance economically irrational. The economic model and the privacy model reinforce each other.</w:t>
      </w:r>
    </w:p>
    <w:p>
      <w:pPr>
        <w:pStyle w:val="Heading2"/>
        <w:spacing w:before="280" w:after="200"/>
      </w:pPr>
      <w:r>
        <w:rPr>
          <w:rFonts w:ascii="Arial" w:cs="Arial" w:eastAsia="Arial" w:hAnsi="Arial"/>
          <w:b/>
          <w:bCs/>
          <w:color w:val="0A0A0A"/>
          <w:sz w:val="30"/>
          <w:szCs w:val="30"/>
        </w:rPr>
        <w:t xml:space="preserve">7.8 Supply Impact of Read Fees</w:t>
      </w:r>
    </w:p>
    <w:p>
      <w:pPr>
        <w:spacing w:after="200" w:before="0"/>
        <w:jc w:val="left"/>
      </w:pPr>
      <w:r>
        <w:rPr>
          <w:rFonts w:ascii="Arial" w:cs="Arial" w:eastAsia="Arial" w:hAnsi="Arial"/>
          <w:b w:val="false"/>
          <w:bCs w:val="false"/>
          <w:i w:val="false"/>
          <w:iCs w:val="false"/>
          <w:color w:val="0A0A0A"/>
          <w:sz w:val="24"/>
          <w:szCs w:val="24"/>
        </w:rPr>
        <w:t xml:space="preserve">Read fees introduce a fourth burn source alongside attestation creation fees, adding significant deflationary pressure as the network matures:</w:t>
      </w:r>
    </w:p>
    <w:p>
      <w:pPr>
        <w:pStyle w:val="ListParagraph"/>
        <w:numPr>
          <w:ilvl w:val="0"/>
          <w:numId w:val="2"/>
        </w:numPr>
        <w:spacing w:after="120"/>
      </w:pPr>
      <w:r>
        <w:rPr>
          <w:rFonts w:ascii="Arial" w:cs="Arial" w:eastAsia="Arial" w:hAnsi="Arial"/>
          <w:b/>
          <w:bCs/>
          <w:color w:val="0A0A0A"/>
          <w:sz w:val="24"/>
          <w:szCs w:val="24"/>
        </w:rPr>
        <w:t xml:space="preserve">Early network (few attestations, few reads): </w:t>
      </w:r>
      <w:r>
        <w:rPr>
          <w:rFonts w:ascii="Arial" w:cs="Arial" w:eastAsia="Arial" w:hAnsi="Arial"/>
          <w:color w:val="0A0A0A"/>
          <w:sz w:val="24"/>
          <w:szCs w:val="24"/>
        </w:rPr>
        <w:t xml:space="preserve">minimal read-fee burns. Emission-dominated. Growth mode.</w:t>
      </w:r>
    </w:p>
    <w:p>
      <w:pPr>
        <w:pStyle w:val="ListParagraph"/>
        <w:numPr>
          <w:ilvl w:val="0"/>
          <w:numId w:val="2"/>
        </w:numPr>
        <w:spacing w:after="120"/>
      </w:pPr>
      <w:r>
        <w:rPr>
          <w:rFonts w:ascii="Arial" w:cs="Arial" w:eastAsia="Arial" w:hAnsi="Arial"/>
          <w:b/>
          <w:bCs/>
          <w:color w:val="0A0A0A"/>
          <w:sz w:val="24"/>
          <w:szCs w:val="24"/>
        </w:rPr>
        <w:t xml:space="preserve">Growing network (many attestations, increasing reads): </w:t>
      </w:r>
      <w:r>
        <w:rPr>
          <w:rFonts w:ascii="Arial" w:cs="Arial" w:eastAsia="Arial" w:hAnsi="Arial"/>
          <w:color w:val="0A0A0A"/>
          <w:sz w:val="24"/>
          <w:szCs w:val="24"/>
        </w:rPr>
        <w:t xml:space="preserve">read-fee burns increase as protocols begin consuming attestations. Approaching crossover.</w:t>
      </w:r>
    </w:p>
    <w:p>
      <w:pPr>
        <w:pStyle w:val="ListParagraph"/>
        <w:numPr>
          <w:ilvl w:val="0"/>
          <w:numId w:val="2"/>
        </w:numPr>
        <w:spacing w:after="200"/>
      </w:pPr>
      <w:r>
        <w:rPr>
          <w:rFonts w:ascii="Arial" w:cs="Arial" w:eastAsia="Arial" w:hAnsi="Arial"/>
          <w:b/>
          <w:bCs/>
          <w:color w:val="0A0A0A"/>
          <w:sz w:val="24"/>
          <w:szCs w:val="24"/>
        </w:rPr>
        <w:t xml:space="preserve">Mature network (large attestation base, high read volume): </w:t>
      </w:r>
      <w:r>
        <w:rPr>
          <w:rFonts w:ascii="Arial" w:cs="Arial" w:eastAsia="Arial" w:hAnsi="Arial"/>
          <w:color w:val="0A0A0A"/>
          <w:sz w:val="24"/>
          <w:szCs w:val="24"/>
        </w:rPr>
        <w:t xml:space="preserve">read-fee burns may exceed creation-fee burns as the installed base of attestations is queried repeatedly. Strongly deflationary.</w:t>
      </w:r>
    </w:p>
    <w:p>
      <w:pPr>
        <w:spacing w:after="200" w:before="0"/>
        <w:jc w:val="left"/>
      </w:pPr>
      <w:r>
        <w:rPr>
          <w:rFonts w:ascii="Arial" w:cs="Arial" w:eastAsia="Arial" w:hAnsi="Arial"/>
          <w:b w:val="false"/>
          <w:bCs w:val="false"/>
          <w:i w:val="false"/>
          <w:iCs w:val="false"/>
          <w:color w:val="0A0A0A"/>
          <w:sz w:val="24"/>
          <w:szCs w:val="24"/>
        </w:rPr>
        <w:t xml:space="preserve">This is the key insight: the read-fee burn scales with the installed base of attestations, not just the rate of new attestation creation. A mature network with millions of existing booleans being queried thousands of times per day generates substantial burn volume even if new attestation creation slows. The network becomes more deflationary as it matures.</w:t>
      </w:r>
    </w:p>
    <w:p>
      <w:r>
        <w:br w:type="page"/>
      </w:r>
    </w:p>
    <w:p>
      <w:pPr>
        <w:pStyle w:val="Heading1"/>
        <w:spacing w:before="360" w:after="200"/>
      </w:pPr>
      <w:r>
        <w:rPr>
          <w:rFonts w:ascii="Arial" w:cs="Arial" w:eastAsia="Arial" w:hAnsi="Arial"/>
          <w:b/>
          <w:bCs/>
          <w:color w:val="0A0A0A"/>
          <w:sz w:val="36"/>
          <w:szCs w:val="36"/>
        </w:rPr>
        <w:t xml:space="preserve">8. Token Lifecycle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426"/>
      </w:tblGrid>
      <w:tr>
        <w:tc>
          <w:tcPr>
            <w:tcW w:type="dxa" w:w="22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6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800"/>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Effect on Supply</w:t>
            </w:r>
          </w:p>
        </w:tc>
        <w:tc>
          <w:tcPr>
            <w:tcW w:type="dxa" w:w="2426"/>
            <w:tcBorders>
              <w:top w:val="single" w:color="D4D0CA" w:sz="1"/>
              <w:left w:val="single" w:color="D4D0CA" w:sz="1"/>
              <w:bottom w:val="single" w:color="D4D0CA" w:sz="1"/>
              <w:right w:val="single" w:color="D4D0CA"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Governed By</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Treasury releases</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Human-authorised, on-chain recorded, cap-limited</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Increases circulating supply</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Schedule of Release (S4)</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Emissions</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Inverse sigmoid driven by 90-day rolling attestation volume</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Increases total and circulating supply</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Emission &amp; Burn Model (S5)</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Creation-fee burns</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Linear, from attestation creation fees</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Permanently decreases total supply</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Emission &amp; Burn Model (S5)</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Read-fee burns</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Linear, from attestation read fees</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Permanently decreases total supply</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Read-Fee Model (S7)</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Staking locks</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Step function, increases with each new registration</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Decreases available circulating supply</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Staking Architecture (S6)</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Slashing (burn)</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Dispute resolution triggered</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Permanently decreases total supply</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Staking Architecture (S6)</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Slashing (redistribute)</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Dispute resolution triggered</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Neutral (moves between holders)</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Staking Architecture (S6)</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Read-fee revenue (wallet holder)</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Per-read micropayment to attestation owner</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Neutral (moves between holders)</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Read-Fee Model (S7)</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Read-fee revenue (attestor)</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Per-read residual to signing professional</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Neutral (moves between holders)</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Read-Fee Model (S7)</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Team vesting</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Fixed quarterly schedule over two years</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Increases circulating supply</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Schedule of Release (S4)</w:t>
            </w:r>
          </w:p>
        </w:tc>
      </w:tr>
      <w:tr>
        <w:tc>
          <w:tcPr>
            <w:tcW w:type="dxa" w:w="22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Budget reversions</w:t>
            </w:r>
          </w:p>
        </w:tc>
        <w:tc>
          <w:tcPr>
            <w:tcW w:type="dxa" w:w="26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Unspent tokens return to treasury quarterly</w:t>
            </w:r>
          </w:p>
        </w:tc>
        <w:tc>
          <w:tcPr>
            <w:tcW w:type="dxa" w:w="1800"/>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Decreases circulating supply</w:t>
            </w:r>
          </w:p>
        </w:tc>
        <w:tc>
          <w:tcPr>
            <w:tcW w:type="dxa" w:w="2426"/>
            <w:tcBorders>
              <w:top w:val="single" w:color="D4D0CA" w:sz="1"/>
              <w:left w:val="single" w:color="D4D0CA" w:sz="1"/>
              <w:bottom w:val="single" w:color="D4D0CA" w:sz="1"/>
              <w:right w:val="single" w:color="D4D0CA" w:sz="1"/>
            </w:tcBorders>
            <w:tcMar>
              <w:top w:type="dxa" w:w="80"/>
              <w:left w:type="dxa" w:w="120"/>
              <w:bottom w:type="dxa" w:w="80"/>
              <w:right w:type="dxa" w:w="120"/>
            </w:tcMar>
          </w:tcPr>
          <w:p>
            <w:r>
              <w:rPr>
                <w:rFonts w:ascii="Arial" w:cs="Arial" w:eastAsia="Arial" w:hAnsi="Arial"/>
                <w:color w:val="0A0A0A"/>
                <w:sz w:val="20"/>
                <w:szCs w:val="20"/>
              </w:rPr>
              <w:t xml:space="preserve">Schedule of Release (S4)</w:t>
            </w:r>
          </w:p>
        </w:tc>
      </w:tr>
    </w:tbl>
    <w:p>
      <w:r>
        <w:br w:type="page"/>
      </w:r>
    </w:p>
    <w:p>
      <w:pPr>
        <w:pStyle w:val="Heading1"/>
        <w:spacing w:before="360" w:after="200"/>
      </w:pPr>
      <w:r>
        <w:rPr>
          <w:rFonts w:ascii="Arial" w:cs="Arial" w:eastAsia="Arial" w:hAnsi="Arial"/>
          <w:b/>
          <w:bCs/>
          <w:color w:val="0A0A0A"/>
          <w:sz w:val="36"/>
          <w:szCs w:val="36"/>
        </w:rPr>
        <w:t xml:space="preserve">9. Open Questions</w:t>
      </w:r>
    </w:p>
    <w:p>
      <w:pPr>
        <w:spacing w:after="200" w:before="0"/>
        <w:jc w:val="left"/>
      </w:pPr>
      <w:r>
        <w:rPr>
          <w:rFonts w:ascii="Arial" w:cs="Arial" w:eastAsia="Arial" w:hAnsi="Arial"/>
          <w:b w:val="false"/>
          <w:bCs w:val="false"/>
          <w:i w:val="false"/>
          <w:iCs w:val="false"/>
          <w:color w:val="0A0A0A"/>
          <w:sz w:val="24"/>
          <w:szCs w:val="24"/>
        </w:rPr>
        <w:t xml:space="preserve">The following parameters and mechanisms require further design work and community input before deployment:</w:t>
      </w:r>
    </w:p>
    <w:p>
      <w:pPr>
        <w:pStyle w:val="ListParagraph"/>
        <w:numPr>
          <w:ilvl w:val="0"/>
          <w:numId w:val="2"/>
        </w:numPr>
        <w:spacing w:after="120"/>
      </w:pPr>
      <w:r>
        <w:rPr>
          <w:rFonts w:ascii="Arial" w:cs="Arial" w:eastAsia="Arial" w:hAnsi="Arial"/>
          <w:b/>
          <w:bCs/>
          <w:color w:val="0A0A0A"/>
          <w:sz w:val="24"/>
          <w:szCs w:val="24"/>
        </w:rPr>
        <w:t xml:space="preserve">Total supply and initial price. </w:t>
      </w:r>
      <w:r>
        <w:rPr>
          <w:rFonts w:ascii="Arial" w:cs="Arial" w:eastAsia="Arial" w:hAnsi="Arial"/>
          <w:color w:val="0A0A0A"/>
          <w:sz w:val="24"/>
          <w:szCs w:val="24"/>
        </w:rPr>
        <w:t xml:space="preserve">The fixed total supply and initial liquidity pool pairing.</w:t>
      </w:r>
    </w:p>
    <w:p>
      <w:pPr>
        <w:pStyle w:val="ListParagraph"/>
        <w:numPr>
          <w:ilvl w:val="0"/>
          <w:numId w:val="2"/>
        </w:numPr>
        <w:spacing w:after="120"/>
      </w:pPr>
      <w:r>
        <w:rPr>
          <w:rFonts w:ascii="Arial" w:cs="Arial" w:eastAsia="Arial" w:hAnsi="Arial"/>
          <w:b/>
          <w:bCs/>
          <w:color w:val="0A0A0A"/>
          <w:sz w:val="24"/>
          <w:szCs w:val="24"/>
        </w:rPr>
        <w:t xml:space="preserve">Curve parameters. </w:t>
      </w:r>
      <w:r>
        <w:rPr>
          <w:rFonts w:ascii="Arial" w:cs="Arial" w:eastAsia="Arial" w:hAnsi="Arial"/>
          <w:color w:val="0A0A0A"/>
          <w:sz w:val="24"/>
          <w:szCs w:val="24"/>
        </w:rPr>
        <w:t xml:space="preserve">Emission ceiling, floor, steepness, and midpoint calibrated against expected attestation volumes.</w:t>
      </w:r>
    </w:p>
    <w:p>
      <w:pPr>
        <w:pStyle w:val="ListParagraph"/>
        <w:numPr>
          <w:ilvl w:val="0"/>
          <w:numId w:val="2"/>
        </w:numPr>
        <w:spacing w:after="120"/>
      </w:pPr>
      <w:r>
        <w:rPr>
          <w:rFonts w:ascii="Arial" w:cs="Arial" w:eastAsia="Arial" w:hAnsi="Arial"/>
          <w:b/>
          <w:bCs/>
          <w:color w:val="0A0A0A"/>
          <w:sz w:val="24"/>
          <w:szCs w:val="24"/>
        </w:rPr>
        <w:t xml:space="preserve">Staking amounts by tier. </w:t>
      </w:r>
      <w:r>
        <w:rPr>
          <w:rFonts w:ascii="Arial" w:cs="Arial" w:eastAsia="Arial" w:hAnsi="Arial"/>
          <w:color w:val="0A0A0A"/>
          <w:sz w:val="24"/>
          <w:szCs w:val="24"/>
        </w:rPr>
        <w:t xml:space="preserve">Minimum stake for Tier A, B, and C attestors.</w:t>
      </w:r>
    </w:p>
    <w:p>
      <w:pPr>
        <w:pStyle w:val="ListParagraph"/>
        <w:numPr>
          <w:ilvl w:val="0"/>
          <w:numId w:val="2"/>
        </w:numPr>
        <w:spacing w:after="120"/>
      </w:pPr>
      <w:r>
        <w:rPr>
          <w:rFonts w:ascii="Arial" w:cs="Arial" w:eastAsia="Arial" w:hAnsi="Arial"/>
          <w:b/>
          <w:bCs/>
          <w:color w:val="0A0A0A"/>
          <w:sz w:val="24"/>
          <w:szCs w:val="24"/>
        </w:rPr>
        <w:t xml:space="preserve">Dispute resolution mechanism. </w:t>
      </w:r>
      <w:r>
        <w:rPr>
          <w:rFonts w:ascii="Arial" w:cs="Arial" w:eastAsia="Arial" w:hAnsi="Arial"/>
          <w:color w:val="0A0A0A"/>
          <w:sz w:val="24"/>
          <w:szCs w:val="24"/>
        </w:rPr>
        <w:t xml:space="preserve">Panel composition, evidence standards, appeal process.</w:t>
      </w:r>
    </w:p>
    <w:p>
      <w:pPr>
        <w:pStyle w:val="ListParagraph"/>
        <w:numPr>
          <w:ilvl w:val="0"/>
          <w:numId w:val="2"/>
        </w:numPr>
        <w:spacing w:after="120"/>
      </w:pPr>
      <w:r>
        <w:rPr>
          <w:rFonts w:ascii="Arial" w:cs="Arial" w:eastAsia="Arial" w:hAnsi="Arial"/>
          <w:b/>
          <w:bCs/>
          <w:color w:val="0A0A0A"/>
          <w:sz w:val="24"/>
          <w:szCs w:val="24"/>
        </w:rPr>
        <w:t xml:space="preserve">Unbonding period. </w:t>
      </w:r>
      <w:r>
        <w:rPr>
          <w:rFonts w:ascii="Arial" w:cs="Arial" w:eastAsia="Arial" w:hAnsi="Arial"/>
          <w:color w:val="0A0A0A"/>
          <w:sz w:val="24"/>
          <w:szCs w:val="24"/>
        </w:rPr>
        <w:t xml:space="preserve">Duration between deregistration and stake return.</w:t>
      </w:r>
    </w:p>
    <w:p>
      <w:pPr>
        <w:pStyle w:val="ListParagraph"/>
        <w:numPr>
          <w:ilvl w:val="0"/>
          <w:numId w:val="2"/>
        </w:numPr>
        <w:spacing w:after="120"/>
      </w:pPr>
      <w:r>
        <w:rPr>
          <w:rFonts w:ascii="Arial" w:cs="Arial" w:eastAsia="Arial" w:hAnsi="Arial"/>
          <w:b/>
          <w:bCs/>
          <w:color w:val="0A0A0A"/>
          <w:sz w:val="24"/>
          <w:szCs w:val="24"/>
        </w:rPr>
        <w:t xml:space="preserve">Network Activity Metric definition. </w:t>
      </w:r>
      <w:r>
        <w:rPr>
          <w:rFonts w:ascii="Arial" w:cs="Arial" w:eastAsia="Arial" w:hAnsi="Arial"/>
          <w:color w:val="0A0A0A"/>
          <w:sz w:val="24"/>
          <w:szCs w:val="24"/>
        </w:rPr>
        <w:t xml:space="preserve">Whether M is measured by attestation count, value, unique attestors, or a weighted composite.</w:t>
      </w:r>
    </w:p>
    <w:p>
      <w:pPr>
        <w:pStyle w:val="ListParagraph"/>
        <w:numPr>
          <w:ilvl w:val="0"/>
          <w:numId w:val="2"/>
        </w:numPr>
        <w:spacing w:after="120"/>
      </w:pPr>
      <w:r>
        <w:rPr>
          <w:rFonts w:ascii="Arial" w:cs="Arial" w:eastAsia="Arial" w:hAnsi="Arial"/>
          <w:b/>
          <w:bCs/>
          <w:color w:val="0A0A0A"/>
          <w:sz w:val="24"/>
          <w:szCs w:val="24"/>
        </w:rPr>
        <w:t xml:space="preserve">Read-fee split ratios. </w:t>
      </w:r>
      <w:r>
        <w:rPr>
          <w:rFonts w:ascii="Arial" w:cs="Arial" w:eastAsia="Arial" w:hAnsi="Arial"/>
          <w:color w:val="0A0A0A"/>
          <w:sz w:val="24"/>
          <w:szCs w:val="24"/>
        </w:rPr>
        <w:t xml:space="preserve">The percentage allocation between wallet holder, attestor, and protocol burn.</w:t>
      </w:r>
    </w:p>
    <w:p>
      <w:pPr>
        <w:pStyle w:val="ListParagraph"/>
        <w:numPr>
          <w:ilvl w:val="0"/>
          <w:numId w:val="2"/>
        </w:numPr>
        <w:spacing w:after="120"/>
      </w:pPr>
      <w:r>
        <w:rPr>
          <w:rFonts w:ascii="Arial" w:cs="Arial" w:eastAsia="Arial" w:hAnsi="Arial"/>
          <w:b/>
          <w:bCs/>
          <w:color w:val="0A0A0A"/>
          <w:sz w:val="24"/>
          <w:szCs w:val="24"/>
        </w:rPr>
        <w:t xml:space="preserve">Read-fee escalation curve. </w:t>
      </w:r>
      <w:r>
        <w:rPr>
          <w:rFonts w:ascii="Arial" w:cs="Arial" w:eastAsia="Arial" w:hAnsi="Arial"/>
          <w:color w:val="0A0A0A"/>
          <w:sz w:val="24"/>
          <w:szCs w:val="24"/>
        </w:rPr>
        <w:t xml:space="preserve">The exact rate at which fees increase for multiple reads on the same wallet in the same session.</w:t>
      </w:r>
    </w:p>
    <w:p>
      <w:pPr>
        <w:pStyle w:val="ListParagraph"/>
        <w:numPr>
          <w:ilvl w:val="0"/>
          <w:numId w:val="2"/>
        </w:numPr>
        <w:spacing w:after="120"/>
      </w:pPr>
      <w:r>
        <w:rPr>
          <w:rFonts w:ascii="Arial" w:cs="Arial" w:eastAsia="Arial" w:hAnsi="Arial"/>
          <w:b/>
          <w:bCs/>
          <w:color w:val="0A0A0A"/>
          <w:sz w:val="24"/>
          <w:szCs w:val="24"/>
        </w:rPr>
        <w:t xml:space="preserve">Access gating mechanism. </w:t>
      </w:r>
      <w:r>
        <w:rPr>
          <w:rFonts w:ascii="Arial" w:cs="Arial" w:eastAsia="Arial" w:hAnsi="Arial"/>
          <w:color w:val="0A0A0A"/>
          <w:sz w:val="24"/>
          <w:szCs w:val="24"/>
        </w:rPr>
        <w:t xml:space="preserve">Whether attestation blobs on IPFS are encrypted with decryption gated by payment, or accessed through a smart-contract-gated gateway.</w:t>
      </w:r>
    </w:p>
    <w:p>
      <w:pPr>
        <w:pStyle w:val="ListParagraph"/>
        <w:numPr>
          <w:ilvl w:val="0"/>
          <w:numId w:val="2"/>
        </w:numPr>
        <w:spacing w:after="120"/>
      </w:pPr>
      <w:r>
        <w:rPr>
          <w:rFonts w:ascii="Arial" w:cs="Arial" w:eastAsia="Arial" w:hAnsi="Arial"/>
          <w:b/>
          <w:bCs/>
          <w:color w:val="0A0A0A"/>
          <w:sz w:val="24"/>
          <w:szCs w:val="24"/>
        </w:rPr>
        <w:t xml:space="preserve">Re-attestation cadence for temporal booleans. </w:t>
      </w:r>
      <w:r>
        <w:rPr>
          <w:rFonts w:ascii="Arial" w:cs="Arial" w:eastAsia="Arial" w:hAnsi="Arial"/>
          <w:color w:val="0A0A0A"/>
          <w:sz w:val="24"/>
          <w:szCs w:val="24"/>
        </w:rPr>
        <w:t xml:space="preserve">Standard intervals for different categories of temporal facts.</w:t>
      </w:r>
    </w:p>
    <w:p>
      <w:pPr>
        <w:pStyle w:val="ListParagraph"/>
        <w:numPr>
          <w:ilvl w:val="0"/>
          <w:numId w:val="2"/>
        </w:numPr>
        <w:spacing w:after="200"/>
      </w:pPr>
      <w:r>
        <w:rPr>
          <w:rFonts w:ascii="Arial" w:cs="Arial" w:eastAsia="Arial" w:hAnsi="Arial"/>
          <w:b/>
          <w:bCs/>
          <w:color w:val="0A0A0A"/>
          <w:sz w:val="24"/>
          <w:szCs w:val="24"/>
        </w:rPr>
        <w:t xml:space="preserve">Chain selection. </w:t>
      </w:r>
      <w:r>
        <w:rPr>
          <w:rFonts w:ascii="Arial" w:cs="Arial" w:eastAsia="Arial" w:hAnsi="Arial"/>
          <w:color w:val="0A0A0A"/>
          <w:sz w:val="24"/>
          <w:szCs w:val="24"/>
        </w:rPr>
        <w:t xml:space="preserve">The specific EVM-compatible chain for deployment based on fee economics and security requirements.</w:t>
      </w:r>
    </w:p>
    <w:p>
      <w:pPr>
        <w:pStyle w:val="Heading1"/>
        <w:spacing w:before="360" w:after="200"/>
      </w:pPr>
      <w:r>
        <w:rPr>
          <w:rFonts w:ascii="Arial" w:cs="Arial" w:eastAsia="Arial" w:hAnsi="Arial"/>
          <w:b/>
          <w:bCs/>
          <w:color w:val="0A0A0A"/>
          <w:sz w:val="36"/>
          <w:szCs w:val="36"/>
        </w:rPr>
        <w:t xml:space="preserve">10. Disclaimer</w:t>
      </w:r>
    </w:p>
    <w:p>
      <w:pPr>
        <w:spacing w:after="200" w:before="0"/>
        <w:jc w:val="left"/>
      </w:pPr>
      <w:r>
        <w:rPr>
          <w:rFonts w:ascii="Arial" w:cs="Arial" w:eastAsia="Arial" w:hAnsi="Arial"/>
          <w:b w:val="false"/>
          <w:bCs w:val="false"/>
          <w:i/>
          <w:iCs/>
          <w:color w:val="6A6660"/>
          <w:sz w:val="24"/>
          <w:szCs w:val="24"/>
        </w:rPr>
        <w:t xml:space="preserve">This document is a working draft for discussion purposes. The token model described herein is subject to revision based on community feedback, legal review, and technical feasibility assessment. Nothing in this document constitutes financial, legal, or investment advice. $PRZ tokens, if and when issued, may have no value and should not be purchased as a speculative investment.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20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2026-03-31T05:10:08.690Z</dcterms:created>
  <dcterms:modified xsi:type="dcterms:W3CDTF">2026-03-31T05:10:08.690Z</dcterms:modified>
</cp:coreProperties>
</file>

<file path=docProps/custom.xml><?xml version="1.0" encoding="utf-8"?>
<Properties xmlns="http://schemas.openxmlformats.org/officeDocument/2006/custom-properties" xmlns:vt="http://schemas.openxmlformats.org/officeDocument/2006/docPropsVTypes"/>
</file>