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5fa5" w:val="clear"/>
            <w:tcMar>
              <w:top w:w="360.0" w:type="dxa"/>
              <w:left w:w="400.0" w:type="dxa"/>
              <w:bottom w:w="36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32"/>
                <w:szCs w:val="32"/>
                <w:rtl w:val="0"/>
              </w:rPr>
              <w:t xml:space="preserve">UNICEF DILIGENCE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9f8"/>
                <w:sz w:val="26"/>
                <w:szCs w:val="26"/>
                <w:rtl w:val="0"/>
              </w:rPr>
              <w:t xml:space="preserve">CodesRock Approach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dd7ee"/>
                <w:sz w:val="20"/>
                <w:szCs w:val="20"/>
                <w:rtl w:val="0"/>
              </w:rPr>
              <w:t xml:space="preserve">Screen-Free Early Childhood Coding Education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c5fa5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5fa5"/>
          <w:sz w:val="28"/>
          <w:szCs w:val="28"/>
          <w:rtl w:val="0"/>
        </w:rPr>
        <w:t xml:space="preserve">1. Hypothesis Validation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5fa5" w:space="0" w:sz="4" w:val="single"/>
              <w:left w:color="1c5fa5" w:space="0" w:sz="12" w:val="single"/>
              <w:bottom w:color="1c5fa5" w:space="0" w:sz="4" w:val="single"/>
              <w:right w:color="000000" w:space="0" w:sz="0" w:val="nil"/>
            </w:tcBorders>
            <w:shd w:fill="ebf4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5fa5"/>
                <w:sz w:val="18"/>
                <w:szCs w:val="18"/>
                <w:rtl w:val="0"/>
              </w:rPr>
              <w:t xml:space="preserve">Core Hypothesis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c5fa5" w:space="0" w:sz="4" w:val="single"/>
              <w:left w:color="1c5fa5" w:space="0" w:sz="12" w:val="single"/>
              <w:bottom w:color="1c5fa5" w:space="0" w:sz="4" w:val="single"/>
              <w:right w:color="000000" w:space="0" w:sz="0" w:val="nil"/>
            </w:tcBorders>
            <w:shd w:fill="ebf4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0"/>
                <w:szCs w:val="20"/>
                <w:rtl w:val="0"/>
              </w:rPr>
              <w:t xml:space="preserve">“Early childhood coding education can be delivered without screens to improve developmental outcomes (motor, social, cognitive) compared to traditional screen-based methods.”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1c5fa5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5fa5"/>
          <w:sz w:val="28"/>
          <w:szCs w:val="28"/>
          <w:rtl w:val="0"/>
        </w:rPr>
        <w:t xml:space="preserve">2. Problem Space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following key nodes define the core problem areas this initiative seeks to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c5fa5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ebf4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Screen-Induced Developmental 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Decreased motor skills and eye strain resulting from excessive screen exposure in early childhood.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00897b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0f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The “Cognitive Crutch”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Children following screen prompts rather than developing independent critical thinking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4600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ef3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Social Isolation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Individual screen time displaces collaborative box-play and peer interaction opportunities.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c5fa5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5fa5"/>
          <w:sz w:val="28"/>
          <w:szCs w:val="28"/>
          <w:rtl w:val="0"/>
        </w:rPr>
        <w:t xml:space="preserve">3. Proxy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6b7a"/>
          <w:sz w:val="18"/>
          <w:szCs w:val="18"/>
          <w:rtl w:val="0"/>
        </w:rPr>
        <w:t xml:space="preserve">Scheduled: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following questions are designed to surface key insights from subject-matter experts and target user proxies: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897b" w:space="0" w:sz="24" w:val="single"/>
              <w:bottom w:color="000000" w:space="0" w:sz="0" w:val="nil"/>
              <w:right w:color="000000" w:space="0" w:sz="0" w:val="nil"/>
            </w:tcBorders>
            <w:shd w:fill="f0faf8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897b"/>
                <w:sz w:val="20"/>
                <w:szCs w:val="20"/>
                <w:rtl w:val="0"/>
              </w:rPr>
              <w:t xml:space="preserve">“In your experience, how does 30 minutes of tablet time affect a child’s social interaction compared to 30 minutes of physical block play?”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897b" w:space="0" w:sz="24" w:val="single"/>
              <w:bottom w:color="000000" w:space="0" w:sz="0" w:val="nil"/>
              <w:right w:color="000000" w:space="0" w:sz="0" w:val="nil"/>
            </w:tcBorders>
            <w:shd w:fill="f0faf8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897b"/>
                <w:sz w:val="20"/>
                <w:szCs w:val="20"/>
                <w:rtl w:val="0"/>
              </w:rPr>
              <w:t xml:space="preserve">“What developmental milestones are you most worried about for kids in the ‘iPad generation’?”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c5fa5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5fa5"/>
          <w:sz w:val="28"/>
          <w:szCs w:val="28"/>
          <w:rtl w:val="0"/>
        </w:rPr>
        <w:t xml:space="preserve">4. Persona: The “Developmental First”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5fa5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“Conscious Akosua”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5fa5"/>
                <w:sz w:val="18"/>
                <w:szCs w:val="18"/>
                <w:rtl w:val="0"/>
              </w:rPr>
              <w:t xml:space="preserve">Pains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f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Worried about her child’s posture and social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Wants children to be future-ready but dislikes the ‘zombie’ effect of screens.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5fa5"/>
                <w:sz w:val="18"/>
                <w:szCs w:val="18"/>
                <w:rtl w:val="0"/>
              </w:rPr>
              <w:t xml:space="preserve">Gains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0f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Sees her child moving, talking, and problem-solving physically.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1c5fa5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5fa5"/>
          <w:sz w:val="28"/>
          <w:szCs w:val="28"/>
          <w:rtl w:val="0"/>
        </w:rPr>
        <w:t xml:space="preserve">5. Empathy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6b7a"/>
          <w:sz w:val="18"/>
          <w:szCs w:val="18"/>
          <w:rtl w:val="0"/>
        </w:rPr>
        <w:t xml:space="preserve">User: 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following map captures the child’s perspective across observable and experiential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c5fa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1c5fa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c5fa5"/>
                <w:sz w:val="18"/>
                <w:szCs w:val="18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afc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897b"/>
                <w:sz w:val="20"/>
                <w:szCs w:val="20"/>
                <w:rtl w:val="0"/>
              </w:rPr>
              <w:t xml:space="preserve">“Look what I </w:t>
            </w:r>
            <w:r w:rsidDel="00000000" w:rsidR="00000000" w:rsidRPr="00000000">
              <w:rPr>
                <w:i w:val="1"/>
                <w:iCs w:val="1"/>
                <w:color w:val="00897b"/>
                <w:rtl w:val="0"/>
              </w:rPr>
              <w:t xml:space="preserve">programmed and built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897b"/>
                <w:sz w:val="20"/>
                <w:szCs w:val="20"/>
                <w:rtl w:val="0"/>
              </w:rPr>
              <w:t xml:space="preserve"> with the cards!”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Pride in physical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c5fa5"/>
                <w:sz w:val="18"/>
                <w:szCs w:val="18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0f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Moves around the table and interacts with peers.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Engages motor and social developmental pathways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d6e9f8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1c5fa5"/>
                <w:sz w:val="18"/>
                <w:szCs w:val="18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d7ee" w:space="0" w:sz="4" w:val="single"/>
              <w:left w:color="bdd7ee" w:space="0" w:sz="4" w:val="single"/>
              <w:bottom w:color="bdd7ee" w:space="0" w:sz="4" w:val="single"/>
              <w:right w:color="bdd7ee" w:space="0" w:sz="4" w:val="single"/>
            </w:tcBorders>
            <w:shd w:fill="fef9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Empowered to be a ‘creator’ without a device.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c6b7a"/>
                <w:sz w:val="18"/>
                <w:szCs w:val="18"/>
                <w:rtl w:val="0"/>
              </w:rPr>
              <w:t xml:space="preserve">Builds agency, confidence, and intrinsic motivation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5fa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c6b7a"/>
                <w:sz w:val="16"/>
                <w:szCs w:val="16"/>
                <w:rtl w:val="0"/>
              </w:rPr>
              <w:t xml:space="preserve">UNICEF Diligence Module  •  CodesRock Early Childhood Coding Initiative  •  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360"/>
      <w:gridCol w:w="3000"/>
      <w:tblGridChange w:id="0">
        <w:tblGrid>
          <w:gridCol w:w="636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1c5fa5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120.0" w:type="dxa"/>
          </w:tcMar>
        </w:tcPr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5c6b7a"/>
              <w:sz w:val="16"/>
              <w:szCs w:val="16"/>
              <w:rtl w:val="0"/>
            </w:rPr>
            <w:t xml:space="preserve">Confidential — For Internal Use Only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1c5fa5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12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043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c6b7a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color w:val="5c6b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360"/>
      <w:gridCol w:w="3000"/>
      <w:tblGridChange w:id="0">
        <w:tblGrid>
          <w:gridCol w:w="636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c5fa5" w:space="0" w:sz="4" w:val="single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c5fa5"/>
              <w:sz w:val="18"/>
              <w:szCs w:val="18"/>
              <w:rtl w:val="0"/>
            </w:rPr>
            <w:t xml:space="preserve">UNICEF Diligence Module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c5fa5" w:space="0" w:sz="4" w:val="single"/>
            <w:right w:color="000000" w:space="0" w:sz="0" w:val="nil"/>
          </w:tcBorders>
          <w:tcMar>
            <w:top w:w="60.0" w:type="dxa"/>
            <w:left w:w="120.0" w:type="dxa"/>
            <w:bottom w:w="6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F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c6b7a"/>
              <w:sz w:val="18"/>
              <w:szCs w:val="18"/>
              <w:rtl w:val="0"/>
            </w:rPr>
            <w:t xml:space="preserve">CodesRock Approach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5fa5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897b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4JlK0ibLjnOGGbhjf61bKPbNQ==">CgMxLjA4AHIhMUJRZFYxNURkY001d2UybktLVDZLUUh1V1oxX0t3ejNh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