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25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06:47:02 – 06:47:02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06:47:02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06:47:02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06:47:02 – 06:47:02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06:47:02 – 06:47:02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2026-09-25 06:49:08 · CCTV Health Monitor</w:t>
      </w:r>
    </w:p>
    <w:sectPr>
      <w:pgSz w:w="11906" w:h="16838"/>
      <w:pgMar w:top="1134" w:right="1134" w:bottom="1134" w:left="1134" w:header="709" w:footer="709" w:gutter="0"/>
    </w:sectPr>
  </w:body>
</w:document>
</file>