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 Response Guideline - Training Sample</w:t>
      </w:r>
    </w:p>
    <w:p>
      <w:r>
        <w:t>This fictional guideline supports a Microsoft 365 Copilot workshop. Do not use it as an official customer response policy.</w:t>
      </w:r>
    </w:p>
    <w:p>
      <w:pPr>
        <w:pStyle w:val="Heading1"/>
      </w:pPr>
      <w:r>
        <w:t>Response Principles</w:t>
      </w:r>
    </w:p>
    <w:p>
      <w:pPr>
        <w:pStyle w:val="ListBullet"/>
      </w:pPr>
      <w:r>
        <w:t>Summarize themes without exposing personal data.</w:t>
      </w:r>
    </w:p>
    <w:p>
      <w:pPr>
        <w:pStyle w:val="ListBullet"/>
      </w:pPr>
      <w:r>
        <w:t>Separate facts from interpretation and unknown causes.</w:t>
      </w:r>
    </w:p>
    <w:p>
      <w:pPr>
        <w:pStyle w:val="ListBullet"/>
      </w:pPr>
      <w:r>
        <w:t>Escalate repeated high-severity signals to the relevant owner.</w:t>
      </w:r>
    </w:p>
    <w:p>
      <w:pPr>
        <w:pStyle w:val="ListBullet"/>
      </w:pPr>
      <w:r>
        <w:t>Avoid writing individual customer replies unless approved by the proper team.</w:t>
      </w:r>
    </w:p>
    <w:p>
      <w:pPr>
        <w:pStyle w:val="Heading1"/>
      </w:pPr>
      <w:r>
        <w:t>Escalation Guidance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Suggested 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Repeated shelf availability concern</w:t>
            </w:r>
          </w:p>
        </w:tc>
        <w:tc>
          <w:tcPr>
            <w:tcW w:type="dxa" w:w="2880"/>
          </w:tcPr>
          <w:p>
            <w:r>
              <w:t>Sales / Supply owner</w:t>
            </w:r>
          </w:p>
        </w:tc>
        <w:tc>
          <w:tcPr>
            <w:tcW w:type="dxa" w:w="2880"/>
          </w:tcPr>
          <w:p>
            <w:r>
              <w:t>Verify source data and stock signal.</w:t>
            </w:r>
          </w:p>
        </w:tc>
      </w:tr>
      <w:tr>
        <w:tc>
          <w:tcPr>
            <w:tcW w:type="dxa" w:w="2880"/>
          </w:tcPr>
          <w:p>
            <w:r>
              <w:t>Label or claim clarity question</w:t>
            </w:r>
          </w:p>
        </w:tc>
        <w:tc>
          <w:tcPr>
            <w:tcW w:type="dxa" w:w="2880"/>
          </w:tcPr>
          <w:p>
            <w:r>
              <w:t>Brand / Legal owner</w:t>
            </w:r>
          </w:p>
        </w:tc>
        <w:tc>
          <w:tcPr>
            <w:tcW w:type="dxa" w:w="2880"/>
          </w:tcPr>
          <w:p>
            <w:r>
              <w:t>Review wording and approved claim source.</w:t>
            </w:r>
          </w:p>
        </w:tc>
      </w:tr>
      <w:tr>
        <w:tc>
          <w:tcPr>
            <w:tcW w:type="dxa" w:w="2880"/>
          </w:tcPr>
          <w:p>
            <w:r>
              <w:t>Packaging usability question</w:t>
            </w:r>
          </w:p>
        </w:tc>
        <w:tc>
          <w:tcPr>
            <w:tcW w:type="dxa" w:w="2880"/>
          </w:tcPr>
          <w:p>
            <w:r>
              <w:t>Brand / Quality owner</w:t>
            </w:r>
          </w:p>
        </w:tc>
        <w:tc>
          <w:tcPr>
            <w:tcW w:type="dxa" w:w="2880"/>
          </w:tcPr>
          <w:p>
            <w:r>
              <w:t>Check whether guidance or FAQ update is needed.</w:t>
            </w:r>
          </w:p>
        </w:tc>
      </w:tr>
      <w:tr>
        <w:tc>
          <w:tcPr>
            <w:tcW w:type="dxa" w:w="2880"/>
          </w:tcPr>
          <w:p>
            <w:r>
              <w:t>Delivery condition feedback</w:t>
            </w:r>
          </w:p>
        </w:tc>
        <w:tc>
          <w:tcPr>
            <w:tcW w:type="dxa" w:w="2880"/>
          </w:tcPr>
          <w:p>
            <w:r>
              <w:t>Customer Care / Logistics owner</w:t>
            </w:r>
          </w:p>
        </w:tc>
        <w:tc>
          <w:tcPr>
            <w:tcW w:type="dxa" w:w="2880"/>
          </w:tcPr>
          <w:p>
            <w:r>
              <w:t>Check if issue relates to delivery handling data.</w:t>
            </w:r>
          </w:p>
        </w:tc>
      </w:tr>
    </w:tbl>
    <w:p>
      <w:pPr>
        <w:pStyle w:val="Heading1"/>
      </w:pPr>
      <w:r>
        <w:t>Privacy Reminder</w:t>
      </w:r>
    </w:p>
    <w:p>
      <w:r>
        <w:t>Use aggregated summaries for workshop outputs. Do not include names, phone numbers, emails, addresses, or any real customer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