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รายงานสรุปสถานการณ์ปฏิบัติการ – Tokio Marine Life Thailand</w:t>
      </w:r>
    </w:p>
    <w:p>
      <w:r>
        <w:rPr>
          <w:i/>
        </w:rPr>
        <w:t>ช่วงเวลา: 1 เมษายน – 28 เมษายน 2026  |  จัดทำโดย: ฝ่ายปฏิบัติการ</w:t>
      </w:r>
    </w:p>
    <w:p/>
    <w:p>
      <w:pPr>
        <w:pStyle w:val="Heading1"/>
      </w:pPr>
      <w:r>
        <w:t>ข้อมูล Raw Note จากหน้างาน</w:t>
      </w:r>
    </w:p>
    <w:p>
      <w:r>
        <w:rPr>
          <w:i/>
        </w:rPr>
        <w:t>แหล่งข้อมูล: รายงานสรุปสัปดาห์จากผู้จัดการเขต, ทีมบริการลูกค้า, ทีมพิจารณาเคลม</w:t>
      </w:r>
    </w:p>
    <w:p/>
    <w:p>
      <w:r>
        <w:rPr>
          <w:b/>
          <w:sz w:val="22"/>
        </w:rPr>
        <w:t>ช่องทางตัวแทน (Agency)</w:t>
      </w:r>
    </w:p>
    <w:p>
      <w:pPr>
        <w:pStyle w:val="ListBullet"/>
      </w:pPr>
      <w:r>
        <w:t>ยอด New Policy ต่ำกว่าเป้า 7% ใน 2 เขตขาย (เขตกลาง และเขตเหนือ)</w:t>
      </w:r>
    </w:p>
    <w:p>
      <w:pPr>
        <w:pStyle w:val="ListBullet"/>
      </w:pPr>
      <w:r>
        <w:t>ตัวแทนในเขตกลางรายงานปัญหาการ follow-up ลูกค้าล่าช้าเกิน 72 ชั่วโมง</w:t>
      </w:r>
    </w:p>
    <w:p>
      <w:pPr>
        <w:pStyle w:val="ListBullet"/>
      </w:pPr>
      <w:r>
        <w:t>จำนวนตัวแทน Active ลดลง 4% เทียบกับเดือนก่อน</w:t>
      </w:r>
    </w:p>
    <w:p>
      <w:pPr>
        <w:pStyle w:val="ListBullet"/>
      </w:pPr>
      <w:r>
        <w:t>ยอดรวม New Policy เดือน เม.ย. 2026: 1,340 ฉบับ (เป้าหมาย 1,440 ฉบับ)</w:t>
      </w:r>
    </w:p>
    <w:p/>
    <w:p>
      <w:r>
        <w:rPr>
          <w:b/>
          <w:sz w:val="22"/>
        </w:rPr>
        <w:t>ช่องทางธนาคาร (Bancassurance)</w:t>
      </w:r>
    </w:p>
    <w:p>
      <w:pPr>
        <w:pStyle w:val="ListBullet"/>
      </w:pPr>
      <w:r>
        <w:t>Lead เข้าระบบเพิ่ม 12% (รวม 1,680 leads) แต่ Conversion Rate ลดลงจาก 18% เหลือ 14%</w:t>
      </w:r>
    </w:p>
    <w:p>
      <w:pPr>
        <w:pStyle w:val="ListBullet"/>
      </w:pPr>
      <w:r>
        <w:t>ยอด New Policy จากช่องทางธนาคาร: 235 ฉบับ (เป้าหมาย 290 ฉบับ)</w:t>
      </w:r>
    </w:p>
    <w:p>
      <w:pPr>
        <w:pStyle w:val="ListBullet"/>
      </w:pPr>
      <w:r>
        <w:t>พนักงานธนาคาร 3 สาขาหลักรายงานขาด product knowledge ด้านสัญญาสุขภาพ Unit Linked</w:t>
      </w:r>
    </w:p>
    <w:p>
      <w:pPr>
        <w:pStyle w:val="ListBullet"/>
      </w:pPr>
      <w:r>
        <w:t>ยังไม่มี script มาตรฐานสำหรับ objection handling</w:t>
      </w:r>
    </w:p>
    <w:p/>
    <w:p>
      <w:r>
        <w:rPr>
          <w:b/>
          <w:sz w:val="22"/>
        </w:rPr>
        <w:t>ทีมบริการลูกค้า (Customer Service)</w:t>
      </w:r>
    </w:p>
    <w:p>
      <w:pPr>
        <w:pStyle w:val="ListBullet"/>
      </w:pPr>
      <w:r>
        <w:t>Complaint เรื่องเอกสารเคลมไม่ครบเพิ่มขึ้น 18% เทียบกับเดือนก่อน</w:t>
      </w:r>
    </w:p>
    <w:p>
      <w:pPr>
        <w:pStyle w:val="ListBullet"/>
      </w:pPr>
      <w:r>
        <w:t>ลูกค้า 3 รายร้องเรียนเรื่องการต่ออายุกรมธรรม์ล่าช้าเกิน 7 วัน</w:t>
      </w:r>
    </w:p>
    <w:p>
      <w:pPr>
        <w:pStyle w:val="ListBullet"/>
      </w:pPr>
      <w:r>
        <w:t>อีเมลค้างในคิวเฉลี่ย 2.3 วัน (เป้าหมาย &lt; 1 วัน)</w:t>
      </w:r>
    </w:p>
    <w:p>
      <w:pPr>
        <w:pStyle w:val="ListBullet"/>
      </w:pPr>
      <w:r>
        <w:t>ชั่วโมง OT เฉลี่ย: 12 ชั่วโมง/คน/สัปดาห์ (สูงกว่าปกติ ~40%)</w:t>
      </w:r>
    </w:p>
    <w:p/>
    <w:p>
      <w:r>
        <w:rPr>
          <w:b/>
          <w:sz w:val="22"/>
        </w:rPr>
        <w:t>ทีมพิจารณาเคลม (Claims)</w:t>
      </w:r>
    </w:p>
    <w:p>
      <w:pPr>
        <w:pStyle w:val="ListBullet"/>
      </w:pPr>
      <w:r>
        <w:t>Median Claim Turnaround Time เพิ่มจาก 4.2 วัน เป็น 5.1 วัน</w:t>
      </w:r>
    </w:p>
    <w:p>
      <w:pPr>
        <w:pStyle w:val="ListBullet"/>
      </w:pPr>
      <w:r>
        <w:t>เคลมค้างพิจารณาเกิน 7 วัน: 28 ราย (เดือนก่อน 17 ราย)</w:t>
      </w:r>
    </w:p>
    <w:p>
      <w:pPr>
        <w:pStyle w:val="ListBullet"/>
      </w:pPr>
      <w:r>
        <w:t>สาเหตุหลัก: เอกสารไม่ครบ 42% / รอผลตรวจแพทย์ 33% / รอข้อมูลโรงพยาบาล 25%</w:t>
      </w:r>
    </w:p>
    <w:p>
      <w:pPr>
        <w:pStyle w:val="ListBullet"/>
      </w:pPr>
      <w:r>
        <w:t>ไม่มีกรณี fraud ที่ยืนยันแล้วในรอบนี้</w:t>
      </w:r>
    </w:p>
    <w:p/>
    <w:p>
      <w:pPr>
        <w:pStyle w:val="Heading1"/>
      </w:pPr>
      <w:r>
        <w:t>รายการ Action ที่ต้องทำ (Draft)</w:t>
      </w:r>
    </w:p>
    <w:p>
      <w:r>
        <w:rPr>
          <w:i/>
        </w:rPr>
        <w:t>จัดทำโดยที่ประชุม Weekly Ops Review วันที่ 29 เม.ย.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สถานะ</w:t>
            </w:r>
          </w:p>
        </w:tc>
      </w:tr>
      <w:tr>
        <w:tc>
          <w:tcPr>
            <w:tcW w:type="dxa" w:w="2160"/>
          </w:tcPr>
          <w:p>
            <w:r>
              <w:t>จัดทำ Checklist เอกสารยื่นเคลมสุขภาพและส่งให้ลูกค้าก่อนยื่น</w:t>
            </w:r>
          </w:p>
        </w:tc>
        <w:tc>
          <w:tcPr>
            <w:tcW w:type="dxa" w:w="2160"/>
          </w:tcPr>
          <w:p>
            <w:r>
              <w:t>ทีมปฏิบัติการเคลม</w:t>
            </w:r>
          </w:p>
        </w:tc>
        <w:tc>
          <w:tcPr>
            <w:tcW w:type="dxa" w:w="2160"/>
          </w:tcPr>
          <w:p>
            <w:r>
              <w:t>5 พ.ค. 2026</w:t>
            </w:r>
          </w:p>
        </w:tc>
        <w:tc>
          <w:tcPr>
            <w:tcW w:type="dxa" w:w="2160"/>
          </w:tcPr>
          <w:p>
            <w:r>
              <w:t>กำลังดำเนินการ</w:t>
            </w:r>
          </w:p>
        </w:tc>
      </w:tr>
      <w:tr>
        <w:tc>
          <w:tcPr>
            <w:tcW w:type="dxa" w:w="2160"/>
          </w:tcPr>
          <w:p>
            <w:r>
              <w:t>จัดทำ Playbook Follow-up Lead ภายใน 48 ชั่วโมงสำหรับช่องทางธนาคาร</w:t>
            </w:r>
          </w:p>
        </w:tc>
        <w:tc>
          <w:tcPr>
            <w:tcW w:type="dxa" w:w="2160"/>
          </w:tcPr>
          <w:p>
            <w:r>
              <w:t>ทีมขายช่องทางธนาคาร</w:t>
            </w:r>
          </w:p>
        </w:tc>
        <w:tc>
          <w:tcPr>
            <w:tcW w:type="dxa" w:w="2160"/>
          </w:tcPr>
          <w:p>
            <w:r>
              <w:t>10 พ.ค. 2026</w:t>
            </w:r>
          </w:p>
        </w:tc>
        <w:tc>
          <w:tcPr>
            <w:tcW w:type="dxa" w:w="2160"/>
          </w:tcPr>
          <w:p>
            <w:r>
              <w:t>กำลังดำเนินการ</w:t>
            </w:r>
          </w:p>
        </w:tc>
      </w:tr>
      <w:tr>
        <w:tc>
          <w:tcPr>
            <w:tcW w:type="dxa" w:w="2160"/>
          </w:tcPr>
          <w:p>
            <w:r>
              <w:t>วิเคราะห์รากสาเหตุ Conversion ลดลงในช่องทางตัวแทน เขตกลางและเขตเหนือ</w:t>
            </w:r>
          </w:p>
        </w:tc>
        <w:tc>
          <w:tcPr>
            <w:tcW w:type="dxa" w:w="2160"/>
          </w:tcPr>
          <w:p>
            <w:r>
              <w:t>ผู้จัดการเขตกลาง + เขตเหนือ</w:t>
            </w:r>
          </w:p>
        </w:tc>
        <w:tc>
          <w:tcPr>
            <w:tcW w:type="dxa" w:w="2160"/>
          </w:tcPr>
          <w:p>
            <w:r>
              <w:t>8 พ.ค. 2026</w:t>
            </w:r>
          </w:p>
        </w:tc>
        <w:tc>
          <w:tcPr>
            <w:tcW w:type="dxa" w:w="2160"/>
          </w:tcPr>
          <w:p>
            <w:r>
              <w:t>กำลังดำเนินการ</w:t>
            </w:r>
          </w:p>
        </w:tc>
      </w:tr>
      <w:tr>
        <w:tc>
          <w:tcPr>
            <w:tcW w:type="dxa" w:w="2160"/>
          </w:tcPr>
          <w:p>
            <w:r>
              <w:t>จัด Training Product Knowledge ด้าน Unit Linked สำหรับพนักงานธนาคาร 3 สาขา</w:t>
            </w:r>
          </w:p>
        </w:tc>
        <w:tc>
          <w:tcPr>
            <w:tcW w:type="dxa" w:w="2160"/>
          </w:tcPr>
          <w:p>
            <w:r>
              <w:t>ทีมฝึกอบรม</w:t>
            </w:r>
          </w:p>
        </w:tc>
        <w:tc>
          <w:tcPr>
            <w:tcW w:type="dxa" w:w="2160"/>
          </w:tcPr>
          <w:p>
            <w:r>
              <w:t>15 พ.ค. 2026</w:t>
            </w:r>
          </w:p>
        </w:tc>
        <w:tc>
          <w:tcPr>
            <w:tcW w:type="dxa" w:w="2160"/>
          </w:tcPr>
          <w:p>
            <w:r>
              <w:t>กำลังดำเนินการ</w:t>
            </w:r>
          </w:p>
        </w:tc>
      </w:tr>
      <w:tr>
        <w:tc>
          <w:tcPr>
            <w:tcW w:type="dxa" w:w="2160"/>
          </w:tcPr>
          <w:p>
            <w:r>
              <w:t>ปรับ SLA การต่ออายุกรมธรรม์ และแจ้งลูกค้าล่วงหน้า 30 วัน</w:t>
            </w:r>
          </w:p>
        </w:tc>
        <w:tc>
          <w:tcPr>
            <w:tcW w:type="dxa" w:w="2160"/>
          </w:tcPr>
          <w:p>
            <w:r>
              <w:t>ทีมบริการลูกค้า</w:t>
            </w:r>
          </w:p>
        </w:tc>
        <w:tc>
          <w:tcPr>
            <w:tcW w:type="dxa" w:w="2160"/>
          </w:tcPr>
          <w:p>
            <w:r>
              <w:t>12 พ.ค. 2026</w:t>
            </w:r>
          </w:p>
        </w:tc>
        <w:tc>
          <w:tcPr>
            <w:tcW w:type="dxa" w:w="2160"/>
          </w:tcPr>
          <w:p>
            <w:r>
              <w:t>กำลังดำเนินการ</w:t>
            </w:r>
          </w:p>
        </w:tc>
      </w:tr>
      <w:tr>
        <w:tc>
          <w:tcPr>
            <w:tcW w:type="dxa" w:w="2160"/>
          </w:tcPr>
          <w:p>
            <w:r>
              <w:t>ทบทวนกระบวนการเคลมเพื่อลดเอกสารที่ไม่จำเป็น (Lean Review)</w:t>
            </w:r>
          </w:p>
        </w:tc>
        <w:tc>
          <w:tcPr>
            <w:tcW w:type="dxa" w:w="2160"/>
          </w:tcPr>
          <w:p>
            <w:r>
              <w:t>ทีมพิจารณาเคลม + ทีม Process</w:t>
            </w:r>
          </w:p>
        </w:tc>
        <w:tc>
          <w:tcPr>
            <w:tcW w:type="dxa" w:w="2160"/>
          </w:tcPr>
          <w:p>
            <w:r>
              <w:t>20 พ.ค. 2026</w:t>
            </w:r>
          </w:p>
        </w:tc>
        <w:tc>
          <w:tcPr>
            <w:tcW w:type="dxa" w:w="2160"/>
          </w:tcPr>
          <w:p>
            <w:r>
              <w:t>กำลังดำเนินการ</w:t>
            </w:r>
          </w:p>
        </w:tc>
      </w:tr>
    </w:tbl>
    <w:p/>
    <w:p>
      <w:r>
        <w:rPr>
          <w:i/>
        </w:rPr>
        <w:t>หมายเหตุ: เอกสารนี้จัดทำขึ้นเพื่อการฝึกอบรม Microsoft 365 Copilot เท่านั้น ข้อมูลทั้งหมดเป็นข้อมูลสมมติ ไม่ใช่ข้อมูลจริงขององค์กร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