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Project Northstar Roles</w:t>
      </w:r>
    </w:p>
    <w:p>
      <w:pPr>
        <w:spacing w:after="180"/>
      </w:pPr>
      <w:r>
        <w:rPr>
          <w:rFonts w:ascii="Noto Sans Thai" w:hAnsi="Noto Sans Thai" w:eastAsia="Noto Sans Thai"/>
          <w:b w:val="0"/>
          <w:color w:val="000000"/>
          <w:sz w:val="22"/>
        </w:rPr>
        <w:t>เอกสารนี้อธิบายบทบาททั่วไปของทีมจำลองเพื่อช่วยตอบคำถามเรื่องโครงสร้างโครงการ บทบาททั่วไปไม่ใช่หลักฐานว่าใครได้รับมอบหมาย action item ในการประชุมครั้งใดครั้งหนึ่ง</w:t>
      </w:r>
    </w:p>
    <w:p>
      <w:pPr>
        <w:spacing w:after="220"/>
      </w:pPr>
      <w:r>
        <w:rPr>
          <w:rFonts w:ascii="Noto Sans Thai" w:hAnsi="Noto Sans Thai" w:eastAsia="Noto Sans Thai"/>
          <w:b/>
          <w:color w:val="007C83"/>
          <w:sz w:val="19"/>
        </w:rPr>
        <w:t>ข้อมูลทั้งหมดเป็นข้อมูลสมมติสำหรับการฝึกอบรม ไม่ใช่โครงการ บุคคล นโยบาย หรือกระบวนการจริงขององค์กร</w:t>
      </w:r>
    </w:p>
    <w:p>
      <w:pPr>
        <w:pStyle w:val="Heading1"/>
      </w:pPr>
      <w:r>
        <w:t>Project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584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Person</w:t>
            </w:r>
          </w:p>
        </w:tc>
        <w:tc>
          <w:tcPr>
            <w:tcW w:type="dxa" w:w="2880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Project role</w:t>
            </w:r>
          </w:p>
        </w:tc>
        <w:tc>
          <w:tcPr>
            <w:tcW w:type="dxa" w:w="5328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General responsibility</w:t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Narin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Project Lead</w:t>
            </w:r>
          </w:p>
        </w:tc>
        <w:tc>
          <w:tcPr>
            <w:tcW w:type="dxa" w:w="53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ดูแลทิศทาง pilot และประสาน decision ที่ต้องให้ผู้มีอำนาจ Review</w:t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Mali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Communications Coordinator</w:t>
            </w:r>
          </w:p>
        </w:tc>
        <w:tc>
          <w:tcPr>
            <w:tcW w:type="dxa" w:w="53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เตรียมข้อความและช่องทางสื่อสารสำหรับกลุ่มทดลอง</w:t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Kanda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Process Analyst</w:t>
            </w:r>
          </w:p>
        </w:tc>
        <w:tc>
          <w:tcPr>
            <w:tcW w:type="dxa" w:w="53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รวบรวม request categories และตรวจความชัดเจนของขั้นตอน</w:t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Ton</w:t>
            </w:r>
          </w:p>
        </w:tc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Technical Coordinator</w:t>
            </w:r>
          </w:p>
        </w:tc>
        <w:tc>
          <w:tcPr>
            <w:tcW w:type="dxa" w:w="53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ประสาน test workspace และข้อจำกัดของ Environment</w:t>
            </w:r>
          </w:p>
        </w:tc>
      </w:tr>
    </w:tbl>
    <w:p>
      <w:pPr>
        <w:spacing w:after="20"/>
      </w:pPr>
    </w:p>
    <w:p>
      <w:pPr>
        <w:pStyle w:val="Heading1"/>
      </w:pPr>
      <w:r>
        <w:t>Assignment boundary</w:t>
      </w:r>
    </w:p>
    <w:p>
      <w:r>
        <w:t>การมีบทบาททั่วไปไม่ได้หมายความว่าบุคคลนั้นเป็น owner ของทุกงานที่เกี่ยวข้อง หาก meeting notes ไม่ระบุ owner Agent ต้องแสดงว่า owner ยังไม่ถูกกำหนดและขอให้คนยืนยัน</w:t>
      </w:r>
    </w:p>
    <w:p>
      <w:pPr>
        <w:pStyle w:val="Heading1"/>
      </w:pPr>
      <w:r>
        <w:t>Data boundary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ชื่อทั้งหมดเป็นชื่อสมมติสำหรับการฝึก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ห้ามแทนที่ด้วยรายชื่อพนักงาน email address หรือโครงสร้างองค์กรจริง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ห้ามสรุป authority หรือ approval rights นอกเหนือจากข้อความใน Knowledge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color w:val="666666"/>
        <w:sz w:val="16"/>
      </w:rPr>
      <w:t>Project Northstar synthetic training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7C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