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Fictional Claims Readiness Guide</w:t>
      </w:r>
    </w:p>
    <w:p>
      <w:pPr>
        <w:spacing w:after="240"/>
      </w:pPr>
      <w:r>
        <w:rPr>
          <w:i/>
          <w:color w:val="5A6570"/>
        </w:rPr>
        <w:t>Synthetic Knowledge file for the Claims Document Readiness Agent</w:t>
      </w:r>
    </w:p>
    <w:tbl>
      <w:tblPr>
        <w:tblW w:type="auto" w:w="0"/>
        <w:tblLayout w:type="fixed"/>
        <w:tblLook w:firstColumn="1" w:firstRow="1" w:lastColumn="0" w:lastRow="0" w:noHBand="0" w:noVBand="1" w:val="04A0"/>
      </w:tblPr>
      <w:tblGrid>
        <w:gridCol w:w="10080"/>
      </w:tblGrid>
      <w:tr>
        <w:tc>
          <w:tcPr>
            <w:tcW w:type="dxa" w:w="10166"/>
            <w:shd w:fill="FFF1F4"/>
            <w:vAlign w:val="center"/>
          </w:tcPr>
          <w:p>
            <w:r/>
            <w:r>
              <w:rPr>
                <w:rFonts w:ascii="Aptos" w:hAnsi="Aptos"/>
                <w:b/>
                <w:color w:val="D31145"/>
                <w:sz w:val="20"/>
              </w:rPr>
              <w:t>TRAINING USE ONLY — This is not AIA policy, not legal advice, and not a claims decision guide.</w:t>
            </w:r>
          </w:p>
        </w:tc>
      </w:tr>
    </w:tbl>
    <w:p/>
    <w:p>
      <w:pPr>
        <w:pStyle w:val="Heading1"/>
      </w:pPr>
      <w:r>
        <w:t>Purpose</w:t>
      </w:r>
    </w:p>
    <w:p>
      <w:r>
        <w:t>This fictional guide helps a learner Agent check whether a synthetic health-claim submission contains the training documents needed for a human reviewer. It does not determine coverage, eligibility, approval, rejection, payment, or any medical conclusion.</w:t>
      </w:r>
    </w:p>
    <w:p>
      <w:pPr>
        <w:pStyle w:val="Heading1"/>
      </w:pPr>
      <w:r>
        <w:t>Fictional training checklist</w:t>
      </w:r>
    </w:p>
    <w:tbl>
      <w:tblPr>
        <w:tblStyle w:val="TableGrid"/>
        <w:tblW w:type="auto" w:w="0"/>
        <w:tblLayout w:type="fixed"/>
        <w:tblLook w:firstColumn="1" w:firstRow="1" w:lastColumn="0" w:lastRow="0" w:noHBand="0" w:noVBand="1" w:val="04A0"/>
      </w:tblPr>
      <w:tblGrid>
        <w:gridCol w:w="3389"/>
        <w:gridCol w:w="3389"/>
        <w:gridCol w:w="3389"/>
      </w:tblGrid>
      <w:tr>
        <w:tc>
          <w:tcPr>
            <w:tcW w:type="dxa" w:w="2376"/>
            <w:shd w:fill="17324D"/>
            <w:vAlign w:val="center"/>
          </w:tcPr>
          <w:p>
            <w:r/>
            <w:r>
              <w:rPr>
                <w:rFonts w:ascii="Aptos" w:hAnsi="Aptos"/>
                <w:b/>
                <w:color w:val="FFFFFF"/>
                <w:sz w:val="20"/>
              </w:rPr>
              <w:t>Required item</w:t>
            </w:r>
          </w:p>
        </w:tc>
        <w:tc>
          <w:tcPr>
            <w:tcW w:type="dxa" w:w="3672"/>
            <w:shd w:fill="17324D"/>
            <w:vAlign w:val="center"/>
          </w:tcPr>
          <w:p>
            <w:r/>
            <w:r>
              <w:rPr>
                <w:rFonts w:ascii="Aptos" w:hAnsi="Aptos"/>
                <w:b/>
                <w:color w:val="FFFFFF"/>
                <w:sz w:val="20"/>
              </w:rPr>
              <w:t>Treat as provided when</w:t>
            </w:r>
          </w:p>
        </w:tc>
        <w:tc>
          <w:tcPr>
            <w:tcW w:type="dxa" w:w="4032"/>
            <w:shd w:fill="17324D"/>
            <w:vAlign w:val="center"/>
          </w:tcPr>
          <w:p>
            <w:r/>
            <w:r>
              <w:rPr>
                <w:rFonts w:ascii="Aptos" w:hAnsi="Aptos"/>
                <w:b/>
                <w:color w:val="FFFFFF"/>
                <w:sz w:val="20"/>
              </w:rPr>
              <w:t>Treat as missing or unclear when</w:t>
            </w:r>
          </w:p>
        </w:tc>
      </w:tr>
      <w:tr>
        <w:tc>
          <w:tcPr>
            <w:tcW w:type="dxa" w:w="2376"/>
            <w:vAlign w:val="center"/>
          </w:tcPr>
          <w:p>
            <w:r/>
            <w:r>
              <w:rPr>
                <w:rFonts w:ascii="Aptos" w:hAnsi="Aptos"/>
                <w:b w:val="0"/>
                <w:color w:val="000000"/>
                <w:sz w:val="20"/>
              </w:rPr>
              <w:t>Fictional claim form</w:t>
            </w:r>
          </w:p>
        </w:tc>
        <w:tc>
          <w:tcPr>
            <w:tcW w:type="dxa" w:w="3672"/>
            <w:vAlign w:val="center"/>
          </w:tcPr>
          <w:p>
            <w:r/>
            <w:r>
              <w:rPr>
                <w:rFonts w:ascii="Aptos" w:hAnsi="Aptos"/>
                <w:b w:val="0"/>
                <w:color w:val="000000"/>
                <w:sz w:val="20"/>
              </w:rPr>
              <w:t>The form is named and described as completed.</w:t>
            </w:r>
          </w:p>
        </w:tc>
        <w:tc>
          <w:tcPr>
            <w:tcW w:type="dxa" w:w="4032"/>
            <w:vAlign w:val="center"/>
          </w:tcPr>
          <w:p>
            <w:r/>
            <w:r>
              <w:rPr>
                <w:rFonts w:ascii="Aptos" w:hAnsi="Aptos"/>
                <w:b w:val="0"/>
                <w:color w:val="000000"/>
                <w:sz w:val="20"/>
              </w:rPr>
              <w:t>The form is absent, incomplete, or its completion status is unknown.</w:t>
            </w:r>
          </w:p>
        </w:tc>
      </w:tr>
      <w:tr>
        <w:tc>
          <w:tcPr>
            <w:tcW w:type="dxa" w:w="2376"/>
            <w:shd w:fill="F6F8FA"/>
            <w:vAlign w:val="center"/>
          </w:tcPr>
          <w:p>
            <w:r/>
            <w:r>
              <w:rPr>
                <w:rFonts w:ascii="Aptos" w:hAnsi="Aptos"/>
                <w:b w:val="0"/>
                <w:color w:val="000000"/>
                <w:sz w:val="20"/>
              </w:rPr>
              <w:t>Itemized receipt</w:t>
            </w:r>
          </w:p>
        </w:tc>
        <w:tc>
          <w:tcPr>
            <w:tcW w:type="dxa" w:w="3672"/>
            <w:shd w:fill="F6F8FA"/>
            <w:vAlign w:val="center"/>
          </w:tcPr>
          <w:p>
            <w:r/>
            <w:r>
              <w:rPr>
                <w:rFonts w:ascii="Aptos" w:hAnsi="Aptos"/>
                <w:b w:val="0"/>
                <w:color w:val="000000"/>
                <w:sz w:val="20"/>
              </w:rPr>
              <w:t>A receipt lists the service and amount.</w:t>
            </w:r>
          </w:p>
        </w:tc>
        <w:tc>
          <w:tcPr>
            <w:tcW w:type="dxa" w:w="4032"/>
            <w:shd w:fill="F6F8FA"/>
            <w:vAlign w:val="center"/>
          </w:tcPr>
          <w:p>
            <w:r/>
            <w:r>
              <w:rPr>
                <w:rFonts w:ascii="Aptos" w:hAnsi="Aptos"/>
                <w:b w:val="0"/>
                <w:color w:val="000000"/>
                <w:sz w:val="20"/>
              </w:rPr>
              <w:t>Only a total is mentioned, or the receipt detail is not described.</w:t>
            </w:r>
          </w:p>
        </w:tc>
      </w:tr>
      <w:tr>
        <w:tc>
          <w:tcPr>
            <w:tcW w:type="dxa" w:w="2376"/>
            <w:vAlign w:val="center"/>
          </w:tcPr>
          <w:p>
            <w:r/>
            <w:r>
              <w:rPr>
                <w:rFonts w:ascii="Aptos" w:hAnsi="Aptos"/>
                <w:b w:val="0"/>
                <w:color w:val="000000"/>
                <w:sz w:val="20"/>
              </w:rPr>
              <w:t>Medical certificate</w:t>
            </w:r>
          </w:p>
        </w:tc>
        <w:tc>
          <w:tcPr>
            <w:tcW w:type="dxa" w:w="3672"/>
            <w:vAlign w:val="center"/>
          </w:tcPr>
          <w:p>
            <w:r/>
            <w:r>
              <w:rPr>
                <w:rFonts w:ascii="Aptos" w:hAnsi="Aptos"/>
                <w:b w:val="0"/>
                <w:color w:val="000000"/>
                <w:sz w:val="20"/>
              </w:rPr>
              <w:t>A certificate includes the service date and provider signature.</w:t>
            </w:r>
          </w:p>
        </w:tc>
        <w:tc>
          <w:tcPr>
            <w:tcW w:type="dxa" w:w="4032"/>
            <w:vAlign w:val="center"/>
          </w:tcPr>
          <w:p>
            <w:r/>
            <w:r>
              <w:rPr>
                <w:rFonts w:ascii="Aptos" w:hAnsi="Aptos"/>
                <w:b w:val="0"/>
                <w:color w:val="000000"/>
                <w:sz w:val="20"/>
              </w:rPr>
              <w:t>The certificate, service date, or signature is absent or unclear.</w:t>
            </w:r>
          </w:p>
        </w:tc>
      </w:tr>
      <w:tr>
        <w:tc>
          <w:tcPr>
            <w:tcW w:type="dxa" w:w="2376"/>
            <w:shd w:fill="F6F8FA"/>
            <w:vAlign w:val="center"/>
          </w:tcPr>
          <w:p>
            <w:r/>
            <w:r>
              <w:rPr>
                <w:rFonts w:ascii="Aptos" w:hAnsi="Aptos"/>
                <w:b w:val="0"/>
                <w:color w:val="000000"/>
                <w:sz w:val="20"/>
              </w:rPr>
              <w:t>Payment instruction confirmation</w:t>
            </w:r>
          </w:p>
        </w:tc>
        <w:tc>
          <w:tcPr>
            <w:tcW w:type="dxa" w:w="3672"/>
            <w:shd w:fill="F6F8FA"/>
            <w:vAlign w:val="center"/>
          </w:tcPr>
          <w:p>
            <w:r/>
            <w:r>
              <w:rPr>
                <w:rFonts w:ascii="Aptos" w:hAnsi="Aptos"/>
                <w:b w:val="0"/>
                <w:color w:val="000000"/>
                <w:sz w:val="20"/>
              </w:rPr>
              <w:t>The submission confirms where an approved payment would be directed.</w:t>
            </w:r>
          </w:p>
        </w:tc>
        <w:tc>
          <w:tcPr>
            <w:tcW w:type="dxa" w:w="4032"/>
            <w:shd w:fill="F6F8FA"/>
            <w:vAlign w:val="center"/>
          </w:tcPr>
          <w:p>
            <w:r/>
            <w:r>
              <w:rPr>
                <w:rFonts w:ascii="Aptos" w:hAnsi="Aptos"/>
                <w:b w:val="0"/>
                <w:color w:val="000000"/>
                <w:sz w:val="20"/>
              </w:rPr>
              <w:t>The instruction is absent or cannot be confirmed.</w:t>
            </w:r>
          </w:p>
        </w:tc>
      </w:tr>
    </w:tbl>
    <w:p/>
    <w:p>
      <w:pPr>
        <w:pStyle w:val="Heading1"/>
      </w:pPr>
      <w:r>
        <w:t>Classification rules</w:t>
      </w:r>
    </w:p>
    <w:p>
      <w:pPr>
        <w:pStyle w:val="ListBullet"/>
      </w:pPr>
      <w:r>
        <w:t>Provided: the submission explicitly supplies the item and the required detail.</w:t>
      </w:r>
    </w:p>
    <w:p>
      <w:pPr>
        <w:pStyle w:val="ListBullet"/>
      </w:pPr>
      <w:r>
        <w:t>Missing: the submission explicitly says the item is absent or does not mention it.</w:t>
      </w:r>
    </w:p>
    <w:p>
      <w:pPr>
        <w:pStyle w:val="ListBullet"/>
      </w:pPr>
      <w:r>
        <w:t>Unclear: the item is mentioned but the required detail cannot be verified from the submission.</w:t>
      </w:r>
    </w:p>
    <w:p>
      <w:pPr>
        <w:pStyle w:val="ListBullet"/>
      </w:pPr>
      <w:r>
        <w:t>Do not infer a document, signature, date, diagnosis, or instruction that is not stated.</w:t>
      </w:r>
    </w:p>
    <w:p>
      <w:pPr>
        <w:pStyle w:val="Heading1"/>
      </w:pPr>
      <w:r>
        <w:t>Allowed readiness result</w:t>
      </w:r>
    </w:p>
    <w:tbl>
      <w:tblPr>
        <w:tblStyle w:val="TableGrid"/>
        <w:tblW w:type="auto" w:w="0"/>
        <w:tblLayout w:type="fixed"/>
        <w:tblLook w:firstColumn="1" w:firstRow="1" w:lastColumn="0" w:lastRow="0" w:noHBand="0" w:noVBand="1" w:val="04A0"/>
      </w:tblPr>
      <w:tblGrid>
        <w:gridCol w:w="5083"/>
        <w:gridCol w:w="5083"/>
      </w:tblGrid>
      <w:tr>
        <w:tc>
          <w:tcPr>
            <w:tcW w:type="dxa" w:w="2880"/>
            <w:shd w:fill="17324D"/>
            <w:vAlign w:val="center"/>
          </w:tcPr>
          <w:p>
            <w:r/>
            <w:r>
              <w:rPr>
                <w:rFonts w:ascii="Aptos" w:hAnsi="Aptos"/>
                <w:b/>
                <w:color w:val="FFFFFF"/>
                <w:sz w:val="20"/>
              </w:rPr>
              <w:t>Result</w:t>
            </w:r>
          </w:p>
        </w:tc>
        <w:tc>
          <w:tcPr>
            <w:tcW w:type="dxa" w:w="7200"/>
            <w:shd w:fill="17324D"/>
            <w:vAlign w:val="center"/>
          </w:tcPr>
          <w:p>
            <w:r/>
            <w:r>
              <w:rPr>
                <w:rFonts w:ascii="Aptos" w:hAnsi="Aptos"/>
                <w:b/>
                <w:color w:val="FFFFFF"/>
                <w:sz w:val="20"/>
              </w:rPr>
              <w:t>Use when</w:t>
            </w:r>
          </w:p>
        </w:tc>
      </w:tr>
      <w:tr>
        <w:tc>
          <w:tcPr>
            <w:tcW w:type="dxa" w:w="2880"/>
            <w:vAlign w:val="center"/>
          </w:tcPr>
          <w:p>
            <w:r/>
            <w:r>
              <w:rPr>
                <w:rFonts w:ascii="Aptos" w:hAnsi="Aptos"/>
                <w:b w:val="0"/>
                <w:color w:val="000000"/>
                <w:sz w:val="20"/>
              </w:rPr>
              <w:t>Ready for human review</w:t>
            </w:r>
          </w:p>
        </w:tc>
        <w:tc>
          <w:tcPr>
            <w:tcW w:type="dxa" w:w="7200"/>
            <w:vAlign w:val="center"/>
          </w:tcPr>
          <w:p>
            <w:r/>
            <w:r>
              <w:rPr>
                <w:rFonts w:ascii="Aptos" w:hAnsi="Aptos"/>
                <w:b w:val="0"/>
                <w:color w:val="000000"/>
                <w:sz w:val="20"/>
              </w:rPr>
              <w:t>Every item in the fictional training checklist is explicitly provided with the required detail.</w:t>
            </w:r>
          </w:p>
        </w:tc>
      </w:tr>
      <w:tr>
        <w:tc>
          <w:tcPr>
            <w:tcW w:type="dxa" w:w="2880"/>
            <w:shd w:fill="F6F8FA"/>
            <w:vAlign w:val="center"/>
          </w:tcPr>
          <w:p>
            <w:r/>
            <w:r>
              <w:rPr>
                <w:rFonts w:ascii="Aptos" w:hAnsi="Aptos"/>
                <w:b w:val="0"/>
                <w:color w:val="000000"/>
                <w:sz w:val="20"/>
              </w:rPr>
              <w:t>More information needed</w:t>
            </w:r>
          </w:p>
        </w:tc>
        <w:tc>
          <w:tcPr>
            <w:tcW w:type="dxa" w:w="7200"/>
            <w:shd w:fill="F6F8FA"/>
            <w:vAlign w:val="center"/>
          </w:tcPr>
          <w:p>
            <w:r/>
            <w:r>
              <w:rPr>
                <w:rFonts w:ascii="Aptos" w:hAnsi="Aptos"/>
                <w:b w:val="0"/>
                <w:color w:val="000000"/>
                <w:sz w:val="20"/>
              </w:rPr>
              <w:t>At least one checklist item is missing or unclear.</w:t>
            </w:r>
          </w:p>
        </w:tc>
      </w:tr>
    </w:tbl>
    <w:p/>
    <w:p>
      <w:pPr>
        <w:pStyle w:val="Heading1"/>
      </w:pPr>
      <w:r>
        <w:t>Required brief structure</w:t>
      </w:r>
    </w:p>
    <w:p>
      <w:pPr>
        <w:pStyle w:val="ListBullet"/>
      </w:pPr>
      <w:r>
        <w:t>Submission summary</w:t>
      </w:r>
    </w:p>
    <w:p>
      <w:pPr>
        <w:pStyle w:val="ListBullet"/>
      </w:pPr>
      <w:r>
        <w:t>Documents provided</w:t>
      </w:r>
    </w:p>
    <w:p>
      <w:pPr>
        <w:pStyle w:val="ListBullet"/>
      </w:pPr>
      <w:r>
        <w:t>Missing or unclear information</w:t>
      </w:r>
    </w:p>
    <w:p>
      <w:pPr>
        <w:pStyle w:val="ListBullet"/>
      </w:pPr>
      <w:r>
        <w:t>Questions for follow-up</w:t>
      </w:r>
    </w:p>
    <w:p>
      <w:pPr>
        <w:pStyle w:val="ListBullet"/>
      </w:pPr>
      <w:r>
        <w:t>Document readiness</w:t>
      </w:r>
    </w:p>
    <w:p>
      <w:pPr>
        <w:pStyle w:val="ListBullet"/>
      </w:pPr>
      <w:r>
        <w:t>Human review required</w:t>
      </w:r>
    </w:p>
    <w:p>
      <w:pPr>
        <w:pStyle w:val="Heading1"/>
      </w:pPr>
      <w:r>
        <w:t>Human boundary</w:t>
      </w:r>
    </w:p>
    <w:p>
      <w:r>
        <w:t>Only an authorized human process may assess the real policy, customer identity, coverage, eligibility, approval, rejection, payment, or medical questions. The Agent should refuse such requests and direct the user to the authorized reviewer.</w:t>
      </w:r>
    </w:p>
    <w:sectPr>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570"/>
        <w:sz w:val="16"/>
      </w:rPr>
      <w:t>Synthetic training material • Human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D311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D311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Fictional Claims Readiness Guide</dc:title>
  <dc:subject>Synthetic learner knowledge for Microsoft Copilot Studio workshop</dc:subject>
  <dc:creator/>
  <cp:keywords>synthetic, training, Copilot Studio</cp:keywords>
  <dc:description>Contains fictional training data only.</dc:description>
  <cp:lastModifiedBy/>
  <cp:revision>1</cp:revision>
  <dcterms:created xsi:type="dcterms:W3CDTF">2013-12-23T23:15:00Z</dcterms:created>
  <dcterms:modified xsi:type="dcterms:W3CDTF">2013-12-23T23:15:00Z</dcterms:modified>
  <cp:category/>
</cp:coreProperties>
</file>