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Asteria Draft for Review</w:t>
      </w:r>
    </w:p>
    <w:p>
      <w:r>
        <w:rPr>
          <w:rFonts w:ascii="Arial" w:hAnsi="Arial"/>
          <w:b/>
        </w:rPr>
        <w:t>Fictional draft for review — may contain errors.</w:t>
      </w:r>
    </w:p>
    <w:p>
      <w:r>
        <w:rPr>
          <w:rFonts w:ascii="Arial" w:hAnsi="Arial"/>
        </w:rPr>
        <w:t>This draft is an exercise input for an internal discussion before the leadership meeting. Compare it with Asteria_Grounded_Evidence_Brief.docx. Some statements are supported and others need review. The text below is not an approved message or decision.</w:t>
      </w:r>
    </w:p>
    <w:p>
      <w:pPr>
        <w:pStyle w:val="Heading2"/>
      </w:pPr>
      <w:r>
        <w:rPr>
          <w:rFonts w:ascii="Arial" w:hAnsi="Arial"/>
        </w:rPr>
        <w:t>Service snapshot</w:t>
      </w:r>
    </w:p>
    <w:p>
      <w:r>
        <w:rPr>
          <w:rFonts w:ascii="Arial" w:hAnsi="Arial"/>
        </w:rPr>
        <w:t>The snapshot covers 1–28 September 2026. Claims turnaround exceeded the 48-hour threshold on four days. Daily complaints reached 24 on 21 September. Digital conversion was 9.47% on 25 September.</w:t>
      </w:r>
    </w:p>
    <w:p>
      <w:pPr>
        <w:pStyle w:val="Heading2"/>
      </w:pPr>
      <w:r>
        <w:rPr>
          <w:rFonts w:ascii="Arial" w:hAnsi="Arial"/>
        </w:rPr>
        <w:t>Interpretation</w:t>
      </w:r>
    </w:p>
    <w:p>
      <w:r>
        <w:rPr>
          <w:rFonts w:ascii="Arial" w:hAnsi="Arial"/>
        </w:rPr>
        <w:t>The routing-rule deployment on 13 September caused the turnaround delays and the later increase in complaints. The timing proves that the deployment was responsible.</w:t>
      </w:r>
    </w:p>
    <w:p>
      <w:pPr>
        <w:pStyle w:val="Heading2"/>
      </w:pPr>
      <w:r>
        <w:rPr>
          <w:rFonts w:ascii="Arial" w:hAnsi="Arial"/>
        </w:rPr>
        <w:t>Decision and accountability</w:t>
      </w:r>
    </w:p>
    <w:p>
      <w:r>
        <w:rPr>
          <w:rFonts w:ascii="Arial" w:hAnsi="Arial"/>
        </w:rPr>
        <w:t>Leadership has approved a corrective change. Operations owns the work and has committed to completing it by 30 September 2026.</w:t>
      </w:r>
    </w:p>
    <w:p>
      <w:pPr>
        <w:pStyle w:val="Heading2"/>
      </w:pPr>
      <w:r>
        <w:rPr>
          <w:rFonts w:ascii="Arial" w:hAnsi="Arial"/>
        </w:rPr>
        <w:t>Financial effect</w:t>
      </w:r>
    </w:p>
    <w:p>
      <w:r>
        <w:rPr>
          <w:rFonts w:ascii="Arial" w:hAnsi="Arial"/>
        </w:rPr>
        <w:t>The service disruption caused THB 2 million in losses. The corrective change will recover this amount within one month.</w:t>
      </w:r>
    </w:p>
    <w:p>
      <w:pPr>
        <w:pStyle w:val="Heading2"/>
      </w:pPr>
      <w:r>
        <w:rPr>
          <w:rFonts w:ascii="Arial" w:hAnsi="Arial"/>
        </w:rPr>
        <w:t>Proposed next step</w:t>
      </w:r>
    </w:p>
    <w:p>
      <w:r>
        <w:rPr>
          <w:rFonts w:ascii="Arial" w:hAnsi="Arial"/>
        </w:rPr>
        <w:t>Request more evidence about turnaround, complaints and conversion, and confirm the accountable owner and review date before authorizing further changes.</w:t>
      </w:r>
    </w:p>
    <w:p>
      <w:r>
        <w:rPr>
          <w:rFonts w:ascii="Arial" w:hAnsi="Arial"/>
        </w:rPr>
        <w:t>Keep this draft separate from your revised output. Use only synthetic material and retain the review warning when sharing the original within the workshop.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rial" w:hAnsi="Arial"/>
        <w:sz w:val="18"/>
      </w:rPr>
      <w:t>ASTERIA  |  FICTIONAL TRAINING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cstheme="majorBidi"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Asteria Draft for Review</dc:title>
  <dc:subject>Synthetic group challenge practice</dc:subject>
  <dc:creator>Asteria training materials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