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Asteria Grounded Evidence Brief</w:t>
      </w:r>
    </w:p>
    <w:p>
      <w:pPr>
        <w:pStyle w:val="Heading1"/>
      </w:pPr>
      <w:r>
        <w:t>Executive summary</w:t>
      </w:r>
    </w:p>
    <w:p>
      <w:r>
        <w:t>Asteria's service review should prioritize verification and a limited response rather than a root-cause conclusion. Claims turnaround exceeded the 48-hour threshold on four days, while complaints reached 24 on 21 September. Digital conversion fell to 9.47% on 25 September. These observations show service pressure but do not establish that the routing deployment, queue handoff, or campaign refresh caused it. Leaders should request evidence and confirm accountability before approving operational changes. Causes, action owners, deadlines, and financial effects remain to confirm. [Context: Leadership request and Known operational notes; KPI_Data!A15:J26.]</w:t>
      </w:r>
    </w:p>
    <w:p>
      <w:pPr>
        <w:pStyle w:val="Heading1"/>
      </w:pPr>
      <w:r>
        <w:t>Verified facts</w:t>
      </w:r>
    </w:p>
    <w:p>
      <w:r>
        <w:t>The snapshot covers 1-28 September 2026. The internal claims threshold is 48 hours. [KPI_Data!A2:A29 and D2:D29; Context: Business context.]</w:t>
      </w:r>
    </w:p>
    <w:p>
      <w:r>
        <w:t>Claims turnaround was 50, 55, 58, and 52 hours on 14-17 September, exceeding the threshold on all four days. [KPI_Data!A15:E18.]</w:t>
      </w:r>
    </w:p>
    <w:p>
      <w:r>
        <w:t>Daily complaints peaked at 24 on 21 September. Conversion on 25 September was 54 policies / 570 leads = 9.47%, rounded to two decimals. [KPI_Data!A22:F22 and A26:I26.]</w:t>
      </w:r>
    </w:p>
    <w:p>
      <w:pPr>
        <w:pStyle w:val="Heading1"/>
      </w:pPr>
      <w:r>
        <w:t>Assumptions and interpretations</w:t>
      </w:r>
    </w:p>
    <w:p>
      <w:r>
        <w:t>The patterns warrant investigation, but timing alone does not establish causality. A routing deployment was recorded on 13 September; its contribution to subsequent delays is unconfirmed. No quantified financial loss or approved corrective action is established by these two sources. [Context: Known operational notes and Evidence and interpretation rules.]</w:t>
      </w:r>
    </w:p>
    <w:p>
      <w:pPr>
        <w:pStyle w:val="Heading1"/>
      </w:pPr>
      <w:r>
        <w:t>Open questions</w:t>
      </w:r>
    </w:p>
    <w:p>
      <w:r>
        <w:t>What evidence explains the four above-threshold days? Who will investigate, by when, and with which dependencies? Which further decision should follow verified findings? Owners, deadlines, and financial effects: To confirm.</w:t>
      </w:r>
    </w:p>
    <w:p>
      <w:pPr>
        <w:pStyle w:val="Heading1"/>
      </w:pPr>
      <w:r>
        <w:t>Recommended next decision</w:t>
      </w:r>
    </w:p>
    <w:p>
      <w:r>
        <w:t>Proposed, not approved: request a focused investigation of turnaround, complaints, and conversion. Confirm an accountable owner, evidence requirements, and a review date before authorizing changes. Next decision gate: review the verified findings; date To confirm.</w:t>
      </w:r>
    </w:p>
    <w:p>
      <w:pPr>
        <w:pStyle w:val="Heading1"/>
      </w:pPr>
      <w:r>
        <w:t>Human review notes</w:t>
      </w:r>
    </w:p>
    <w:p>
      <w:r>
        <w:t>Prepared backup. Corrected claim: replace "the routing deployment caused the delays" with "the deployment was recorded on 13 September; cause remains unconfirmed." Open question: what source verifies the cause? [Context: Known operational notes; KPI_Data!A14:J18.]</w:t>
      </w:r>
    </w:p>
    <w:p>
      <w:r>
        <w:t>Source key: Context = Asteria_Operational_Context.docx; KPI_Data = that worksheet in Asteria_Service_KPI_28days.xlsx. Learners should check these references and add their own review notes before reuse.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pPr>
    <w:rPr>
      <w:rFonts w:ascii="Noto Sans" w:hAnsi="Noto Sans"/>
      <w:color w:val="172B4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2" w:lineRule="auto"/>
      <w:outlineLvl w:val="0"/>
    </w:pPr>
    <w:rPr>
      <w:rFonts w:asciiTheme="majorHAnsi" w:eastAsiaTheme="majorEastAsia" w:hAnsiTheme="majorHAnsi" w:cstheme="majorBidi" w:ascii="Noto Sans" w:hAnsi="Noto Sans"/>
      <w:b/>
      <w:bCs/>
      <w:color w:val="0B2545"/>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2" w:lineRule="auto"/>
      <w:contextualSpacing/>
    </w:pPr>
    <w:rPr>
      <w:rFonts w:asciiTheme="majorHAnsi" w:eastAsiaTheme="majorEastAsia" w:hAnsiTheme="majorHAnsi" w:cstheme="majorBidi" w:ascii="Noto Sans" w:hAnsi="Noto Sans"/>
      <w:color w:val="0B254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Asteria Grounded Evidence Brief</dc:title>
  <dc:subject>Prepared evidence brief for the Asteria Insurance service review</dc:subject>
  <dc:creator/>
  <cp:keywords/>
  <dc:description/>
  <cp:lastModifiedBy/>
  <cp:revision>1</cp:revision>
  <dcterms:created xsi:type="dcterms:W3CDTF">2026-10-03T00:00:00Z</dcterms:created>
  <dcterms:modified xsi:type="dcterms:W3CDTF">2026-10-03T00:00:00Z</dcterms:modified>
  <cp:category/>
</cp:coreProperties>
</file>