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Asteria Service Review Email Thread</w:t>
      </w:r>
    </w:p>
    <w:p>
      <w:pPr>
        <w:spacing w:after="200"/>
      </w:pPr>
      <w:r>
        <w:rPr>
          <w:b/>
          <w:color w:val="1677C8"/>
          <w:sz w:val="22"/>
        </w:rPr>
        <w:t>Pre meeting evidence for agenda and decision preparation</w:t>
      </w:r>
    </w:p>
    <w:p>
      <w:r>
        <w:t>This simulated email thread shows how several functions frame the service issue before the executive review. Use it to identify questions, constraints, and proposed agenda items. The thread does not contain an approved decision.</w:t>
      </w:r>
    </w:p>
    <w:p>
      <w:pPr>
        <w:pStyle w:val="Heading1"/>
      </w:pPr>
      <w:r>
        <w:t>Thread details</w:t>
      </w:r>
    </w:p>
    <w:tbl>
      <w:tblPr>
        <w:tblStyle w:val="TableGrid"/>
        <w:tblW w:type="auto" w:w="0"/>
        <w:tblLayout w:type="fixed"/>
        <w:tblLook w:firstColumn="1" w:firstRow="1" w:lastColumn="0" w:lastRow="0" w:noHBand="0" w:noVBand="1" w:val="04A0"/>
      </w:tblPr>
      <w:tblGrid>
        <w:gridCol w:w="5141"/>
        <w:gridCol w:w="5141"/>
      </w:tblGrid>
      <w:tr>
        <w:trPr>
          <w:tblHeader w:val="true"/>
        </w:trPr>
        <w:tc>
          <w:tcPr>
            <w:tcW w:type="dxa" w:w="1944"/>
            <w:shd w:fill="13294B"/>
            <w:vAlign w:val="center"/>
            <w:tcMar>
              <w:top w:w="90" w:type="dxa"/>
              <w:start w:w="90" w:type="dxa"/>
              <w:bottom w:w="90" w:type="dxa"/>
              <w:end w:w="90" w:type="dxa"/>
            </w:tcMar>
          </w:tcPr>
          <w:p>
            <w:pPr>
              <w:spacing w:after="0"/>
            </w:pPr>
            <w:r>
              <w:rPr>
                <w:rFonts w:ascii="Aptos" w:hAnsi="Aptos"/>
                <w:b/>
                <w:color w:val="FFFFFF"/>
                <w:sz w:val="17"/>
              </w:rPr>
              <w:t>Field</w:t>
            </w:r>
          </w:p>
        </w:tc>
        <w:tc>
          <w:tcPr>
            <w:tcW w:type="dxa" w:w="7848"/>
            <w:shd w:fill="13294B"/>
            <w:vAlign w:val="center"/>
            <w:tcMar>
              <w:top w:w="90" w:type="dxa"/>
              <w:start w:w="90" w:type="dxa"/>
              <w:bottom w:w="90" w:type="dxa"/>
              <w:end w:w="90" w:type="dxa"/>
            </w:tcMar>
          </w:tcPr>
          <w:p>
            <w:pPr>
              <w:spacing w:after="0"/>
            </w:pPr>
            <w:r>
              <w:rPr>
                <w:rFonts w:ascii="Aptos" w:hAnsi="Aptos"/>
                <w:b/>
                <w:color w:val="FFFFFF"/>
                <w:sz w:val="17"/>
              </w:rPr>
              <w:t>Value</w:t>
            </w:r>
          </w:p>
        </w:tc>
      </w:tr>
      <w:tr>
        <w:tc>
          <w:tcPr>
            <w:tcW w:type="dxa" w:w="1944"/>
            <w:tcMar>
              <w:top w:w="90" w:type="dxa"/>
              <w:start w:w="90" w:type="dxa"/>
              <w:bottom w:w="90" w:type="dxa"/>
              <w:end w:w="90" w:type="dxa"/>
            </w:tcMar>
          </w:tcPr>
          <w:p>
            <w:pPr>
              <w:spacing w:after="0"/>
            </w:pPr>
            <w:r>
              <w:rPr>
                <w:rFonts w:ascii="Aptos" w:hAnsi="Aptos"/>
                <w:sz w:val="17"/>
              </w:rPr>
              <w:t>Subject</w:t>
            </w:r>
          </w:p>
        </w:tc>
        <w:tc>
          <w:tcPr>
            <w:tcW w:type="dxa" w:w="7848"/>
            <w:tcMar>
              <w:top w:w="90" w:type="dxa"/>
              <w:start w:w="90" w:type="dxa"/>
              <w:bottom w:w="90" w:type="dxa"/>
              <w:end w:w="90" w:type="dxa"/>
            </w:tcMar>
          </w:tcPr>
          <w:p>
            <w:pPr>
              <w:spacing w:after="0"/>
            </w:pPr>
            <w:r>
              <w:rPr>
                <w:rFonts w:ascii="Aptos" w:hAnsi="Aptos"/>
                <w:sz w:val="17"/>
              </w:rPr>
              <w:t>Service pressure review and decision needed</w:t>
            </w:r>
          </w:p>
        </w:tc>
      </w:tr>
      <w:tr>
        <w:tc>
          <w:tcPr>
            <w:tcW w:type="dxa" w:w="1944"/>
            <w:tcMar>
              <w:top w:w="90" w:type="dxa"/>
              <w:start w:w="90" w:type="dxa"/>
              <w:bottom w:w="90" w:type="dxa"/>
              <w:end w:w="90" w:type="dxa"/>
            </w:tcMar>
          </w:tcPr>
          <w:p>
            <w:pPr>
              <w:spacing w:after="0"/>
            </w:pPr>
            <w:r>
              <w:rPr>
                <w:rFonts w:ascii="Aptos" w:hAnsi="Aptos"/>
                <w:sz w:val="17"/>
              </w:rPr>
              <w:t>Period</w:t>
            </w:r>
          </w:p>
        </w:tc>
        <w:tc>
          <w:tcPr>
            <w:tcW w:type="dxa" w:w="7848"/>
            <w:tcMar>
              <w:top w:w="90" w:type="dxa"/>
              <w:start w:w="90" w:type="dxa"/>
              <w:bottom w:w="90" w:type="dxa"/>
              <w:end w:w="90" w:type="dxa"/>
            </w:tcMar>
          </w:tcPr>
          <w:p>
            <w:pPr>
              <w:spacing w:after="0"/>
            </w:pPr>
            <w:r>
              <w:rPr>
                <w:rFonts w:ascii="Aptos" w:hAnsi="Aptos"/>
                <w:sz w:val="17"/>
              </w:rPr>
              <w:t>27 to 28 September 2026</w:t>
            </w:r>
          </w:p>
        </w:tc>
      </w:tr>
      <w:tr>
        <w:tc>
          <w:tcPr>
            <w:tcW w:type="dxa" w:w="1944"/>
            <w:tcMar>
              <w:top w:w="90" w:type="dxa"/>
              <w:start w:w="90" w:type="dxa"/>
              <w:bottom w:w="90" w:type="dxa"/>
              <w:end w:w="90" w:type="dxa"/>
            </w:tcMar>
          </w:tcPr>
          <w:p>
            <w:pPr>
              <w:spacing w:after="0"/>
            </w:pPr>
            <w:r>
              <w:rPr>
                <w:rFonts w:ascii="Aptos" w:hAnsi="Aptos"/>
                <w:sz w:val="17"/>
              </w:rPr>
              <w:t>Participants</w:t>
            </w:r>
          </w:p>
        </w:tc>
        <w:tc>
          <w:tcPr>
            <w:tcW w:type="dxa" w:w="7848"/>
            <w:tcMar>
              <w:top w:w="90" w:type="dxa"/>
              <w:start w:w="90" w:type="dxa"/>
              <w:bottom w:w="90" w:type="dxa"/>
              <w:end w:w="90" w:type="dxa"/>
            </w:tcMar>
          </w:tcPr>
          <w:p>
            <w:pPr>
              <w:spacing w:after="0"/>
            </w:pPr>
            <w:r>
              <w:rPr>
                <w:rFonts w:ascii="Aptos" w:hAnsi="Aptos"/>
                <w:sz w:val="17"/>
              </w:rPr>
              <w:t>Meeting Chair, Operations, Technology, and Finance</w:t>
            </w:r>
          </w:p>
        </w:tc>
      </w:tr>
      <w:tr>
        <w:tc>
          <w:tcPr>
            <w:tcW w:type="dxa" w:w="1944"/>
            <w:tcMar>
              <w:top w:w="90" w:type="dxa"/>
              <w:start w:w="90" w:type="dxa"/>
              <w:bottom w:w="90" w:type="dxa"/>
              <w:end w:w="90" w:type="dxa"/>
            </w:tcMar>
          </w:tcPr>
          <w:p>
            <w:pPr>
              <w:spacing w:after="0"/>
            </w:pPr>
            <w:r>
              <w:rPr>
                <w:rFonts w:ascii="Aptos" w:hAnsi="Aptos"/>
                <w:sz w:val="17"/>
              </w:rPr>
              <w:t>Status</w:t>
            </w:r>
          </w:p>
        </w:tc>
        <w:tc>
          <w:tcPr>
            <w:tcW w:type="dxa" w:w="7848"/>
            <w:tcMar>
              <w:top w:w="90" w:type="dxa"/>
              <w:start w:w="90" w:type="dxa"/>
              <w:bottom w:w="90" w:type="dxa"/>
              <w:end w:w="90" w:type="dxa"/>
            </w:tcMar>
          </w:tcPr>
          <w:p>
            <w:pPr>
              <w:spacing w:after="0"/>
            </w:pPr>
            <w:r>
              <w:rPr>
                <w:rFonts w:ascii="Aptos" w:hAnsi="Aptos"/>
                <w:sz w:val="17"/>
              </w:rPr>
              <w:t>Preparation only; no decision approved by email</w:t>
            </w:r>
          </w:p>
        </w:tc>
      </w:tr>
    </w:tbl>
    <w:p>
      <w:pPr>
        <w:pStyle w:val="Heading2"/>
      </w:pPr>
      <w:r>
        <w:t>Message 1 Maya Meeting Chair</w:t>
      </w:r>
    </w:p>
    <w:p>
      <w:r>
        <w:rPr>
          <w:b/>
          <w:color w:val="4E5966"/>
        </w:rPr>
        <w:t>27 September 2026 at 08:40</w:t>
      </w:r>
    </w:p>
    <w:p>
      <w:r>
        <w:t>Please review the operational context and KPI workbook before tomorrow's executive review. The meeting must decide whether a short service recovery review is justified, what evidence still needs checking, and who will own the next actions. Please do not treat this email as approval to start work.</w:t>
      </w:r>
    </w:p>
    <w:p>
      <w:pPr>
        <w:pStyle w:val="Heading2"/>
      </w:pPr>
      <w:r>
        <w:t>Message 2 Narin Operations</w:t>
      </w:r>
    </w:p>
    <w:p>
      <w:r>
        <w:rPr>
          <w:b/>
          <w:color w:val="4E5966"/>
        </w:rPr>
        <w:t>27 September 2026 at 10:05</w:t>
      </w:r>
    </w:p>
    <w:p>
      <w:r>
        <w:t>The reviewed workbook shows Claim TAT above the 48-hour SLA from 14 to 17 September. Complaint counts are highest from 19 to 21 September. The timing deserves attention, but the workbook does not prove that the routing change caused either pattern. I suggest that the meeting separates verified observations from possible causes.</w:t>
      </w:r>
    </w:p>
    <w:p>
      <w:pPr>
        <w:pStyle w:val="Heading2"/>
      </w:pPr>
      <w:r>
        <w:t>Message 3 Arun Technology</w:t>
      </w:r>
    </w:p>
    <w:p>
      <w:r>
        <w:rPr>
          <w:b/>
          <w:color w:val="4E5966"/>
        </w:rPr>
        <w:t>27 September 2026 at 11:20</w:t>
      </w:r>
    </w:p>
    <w:p>
      <w:r>
        <w:t>A routing-rule deployment was recorded on 13 September. I can inspect the change log and error queue, but access requires Security approval. If access is granted, I can provide initial technical findings by 30 September. The approver and approval date are not confirmed.</w:t>
      </w:r>
    </w:p>
    <w:p>
      <w:pPr>
        <w:pStyle w:val="Heading2"/>
      </w:pPr>
      <w:r>
        <w:t>Message 4 Elena Finance</w:t>
      </w:r>
    </w:p>
    <w:p>
      <w:r>
        <w:rPr>
          <w:b/>
          <w:color w:val="4E5966"/>
        </w:rPr>
        <w:t>27 September 2026 at 14:10</w:t>
      </w:r>
    </w:p>
    <w:p>
      <w:r>
        <w:t>I support discussing a focused recovery review. Finance should not attach a financial estimate until the cost inputs are validated. Please keep financial impact as an open question; I cannot confirm a completion date yet.</w:t>
      </w:r>
    </w:p>
    <w:p>
      <w:pPr>
        <w:pStyle w:val="Heading2"/>
      </w:pPr>
      <w:r>
        <w:t>Message 5 Maya Meeting Chair</w:t>
      </w:r>
    </w:p>
    <w:p>
      <w:r>
        <w:rPr>
          <w:b/>
          <w:color w:val="4E5966"/>
        </w:rPr>
        <w:t>28 September 2026 at 08:15</w:t>
      </w:r>
    </w:p>
    <w:p>
      <w:r>
        <w:t>The proposed agenda is: verify the service evidence, decide whether to run a seven-day recovery review, confirm actions and dates, and record unresolved dependencies. The meeting record will be the source for any confirmed decision.</w:t>
      </w:r>
    </w:p>
    <w:p>
      <w:pPr>
        <w:pStyle w:val="Heading1"/>
      </w:pPr>
      <w:r>
        <w:t>Evidence boundary</w:t>
      </w:r>
    </w:p>
    <w:p>
      <w:pPr>
        <w:spacing w:before="80" w:after="140" w:line="264" w:lineRule="auto"/>
        <w:ind w:left="173" w:right="173"/>
        <w:shd w:fill="EAF3FB"/>
      </w:pPr>
      <w:r>
        <w:rPr>
          <w:b/>
          <w:color w:val="13294B"/>
        </w:rPr>
        <w:t>Use this thread for preparation</w:t>
        <w:br/>
      </w:r>
      <w:r>
        <w:t>A proposal, concern, or conditional offer in email is not a confirmed meeting decision. Verify final decisions, owners, and dates against Asteria_Executive_Review_Transcript.vtt.</w:t>
      </w:r>
    </w:p>
    <w:sectPr w:rsidR="00FC693F" w:rsidRPr="0006063C" w:rsidSect="00034616">
      <w:headerReference w:type="default" r:id="rId9"/>
      <w:footerReference w:type="default" r:id="rId10"/>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E5966"/>
        <w:sz w:val="15"/>
      </w:rPr>
      <w:t>Fictional data • No production use • Human verification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b/>
        <w:color w:val="1677C8"/>
        <w:sz w:val="15"/>
      </w:rPr>
      <w:t>ASTERIA INSURANCE  •  SYNTHETIC WORKSHOP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2D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677C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1329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Asteria Service Review Email Thread</dc:title>
  <dc:subject>Synthetic learner material for Microsoft 365 Copilot practice</dc:subject>
  <dc:creator>Workshop Design Team</dc:creator>
  <cp:keywords>synthetic, workshop, Asteria Insurance</cp:keywords>
  <dc:description>Contains no participant or client operational data.</dc:description>
  <cp:lastModifiedBy/>
  <cp:revision>1</cp:revision>
  <dcterms:created xsi:type="dcterms:W3CDTF">2013-12-23T23:15:00Z</dcterms:created>
  <dcterms:modified xsi:type="dcterms:W3CDTF">2013-12-23T23:15:00Z</dcterms:modified>
  <cp:category/>
</cp:coreProperties>
</file>