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Asteria Insurance</w:t>
      </w:r>
    </w:p>
    <w:p>
      <w:pPr>
        <w:spacing w:after="200"/>
      </w:pPr>
      <w:r>
        <w:rPr>
          <w:b/>
          <w:color w:val="1677C8"/>
          <w:sz w:val="22"/>
        </w:rPr>
        <w:t>Operational context and decision questions</w:t>
      </w:r>
    </w:p>
    <w:p>
      <w:pPr>
        <w:spacing w:before="80" w:after="140" w:line="264" w:lineRule="auto"/>
        <w:ind w:left="173" w:right="173"/>
        <w:shd w:fill="EAF3FB"/>
      </w:pPr>
      <w:r>
        <w:rPr>
          <w:b/>
          <w:color w:val="13294B"/>
        </w:rPr>
        <w:t>Practice case</w:t>
        <w:br/>
      </w:r>
      <w:r>
        <w:t>Asteria Insurance is fictional. Every name, metric, date, event, and business detail in this document was created for learning. Do not treat it as AXA information or production guidance.</w:t>
      </w:r>
    </w:p>
    <w:p>
      <w:pPr>
        <w:pStyle w:val="Heading1"/>
      </w:pPr>
      <w:r>
        <w:t>Leadership request</w:t>
      </w:r>
    </w:p>
    <w:p>
      <w:r>
        <w:t>The cross-functional leadership team will review a 28-day service snapshot. It needs a concise, evidence-based view of what changed, what remains unknown, and which near-term decision should be made without overstating causality.</w:t>
      </w:r>
    </w:p>
    <w:p>
      <w:pPr>
        <w:pStyle w:val="Heading1"/>
      </w:pPr>
      <w:r>
        <w:t>Business context</w:t>
      </w:r>
    </w:p>
    <w:p>
      <w:pPr>
        <w:pStyle w:val="ListBullet"/>
        <w:spacing w:after="50"/>
      </w:pPr>
      <w:r>
        <w:t>Claims turnaround is monitored against a 48-hour internal service-level threshold.</w:t>
      </w:r>
    </w:p>
    <w:p>
      <w:pPr>
        <w:pStyle w:val="ListBullet"/>
        <w:spacing w:after="50"/>
      </w:pPr>
      <w:r>
        <w:t>Complaint Count represents daily service complaints recorded in the synthetic training dataset.</w:t>
      </w:r>
    </w:p>
    <w:p>
      <w:pPr>
        <w:pStyle w:val="ListBullet"/>
        <w:spacing w:after="50"/>
      </w:pPr>
      <w:r>
        <w:t>Digital Conversion Rate is calculated as Digital Policies divided by Digital Leads.</w:t>
      </w:r>
    </w:p>
    <w:p>
      <w:pPr>
        <w:pStyle w:val="ListBullet"/>
        <w:spacing w:after="50"/>
      </w:pPr>
      <w:r>
        <w:t>Leadership is concerned about customer experience, operational resilience, control effectiveness, and clear accountability.</w:t>
      </w:r>
    </w:p>
    <w:p>
      <w:pPr>
        <w:pStyle w:val="ListBullet"/>
        <w:spacing w:after="50"/>
      </w:pPr>
      <w:r>
        <w:t>The immediate objective is a safe, reviewable response—not a final root-cause conclusion or production change.</w:t>
      </w:r>
    </w:p>
    <w:p>
      <w:pPr>
        <w:pStyle w:val="Heading1"/>
      </w:pPr>
      <w:r>
        <w:t>Known operational notes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13294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744"/>
            <w:shd w:fill="13294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Recorded note</w:t>
            </w:r>
          </w:p>
        </w:tc>
        <w:tc>
          <w:tcPr>
            <w:tcW w:type="dxa" w:w="4608"/>
            <w:shd w:fill="13294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Evidence boundary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13 Sep 2026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 routing-rule deployment was recorded.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The note confirms timing only. It does not prove that the deployment caused a KPI change.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18 Sep 2026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 larger-than-usual queue handoff was recorded between two operations teams.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The dataset does not identify who initiated it or whether it caused later complaints.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22 Sep 2026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 digital campaign refresh began.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The workbook shows leads and policies, but it does not establish campaign quality or customer intent.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28 Sep 2026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Leadership review scheduled.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 action is approved until the meeting record confirms it.</w:t>
            </w:r>
          </w:p>
        </w:tc>
      </w:tr>
    </w:tbl>
    <w:p>
      <w:r>
        <w:br w:type="page"/>
      </w:r>
    </w:p>
    <w:p>
      <w:pPr>
        <w:pStyle w:val="Heading1"/>
      </w:pPr>
      <w:r>
        <w:t>Decision questions</w:t>
      </w:r>
    </w:p>
    <w:p>
      <w:pPr>
        <w:pStyle w:val="ListBullet"/>
        <w:spacing w:after="50"/>
      </w:pPr>
      <w:r>
        <w:t>Which changes in Claim TAT Hours, Complaint Count, and Digital Conversion Rate are verified by the workbook?</w:t>
      </w:r>
    </w:p>
    <w:p>
      <w:pPr>
        <w:pStyle w:val="ListBullet"/>
        <w:spacing w:after="50"/>
      </w:pPr>
      <w:r>
        <w:t>Which patterns need action now, and which questions need more evidence?</w:t>
      </w:r>
    </w:p>
    <w:p>
      <w:pPr>
        <w:pStyle w:val="ListBullet"/>
        <w:spacing w:after="50"/>
      </w:pPr>
      <w:r>
        <w:t>What single leadership decision is appropriate before root cause is confirmed?</w:t>
      </w:r>
    </w:p>
    <w:p>
      <w:pPr>
        <w:pStyle w:val="ListBullet"/>
        <w:spacing w:after="50"/>
      </w:pPr>
      <w:r>
        <w:t>Which owner, due date, dependency, or target is explicitly stated—and which remains to confirm?</w:t>
      </w:r>
    </w:p>
    <w:p>
      <w:pPr>
        <w:pStyle w:val="ListBullet"/>
        <w:spacing w:after="50"/>
      </w:pPr>
      <w:r>
        <w:t>How will reviewers trace every number and claim back to an authorized source?</w:t>
      </w:r>
    </w:p>
    <w:p>
      <w:pPr>
        <w:pStyle w:val="Heading1"/>
      </w:pPr>
      <w:r>
        <w:t>Evidence and interpretation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896"/>
            <w:shd w:fill="13294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Use as verified evidence</w:t>
            </w:r>
          </w:p>
        </w:tc>
        <w:tc>
          <w:tcPr>
            <w:tcW w:type="dxa" w:w="4896"/>
            <w:shd w:fill="13294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Keep as interpretation or open question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Values, dates, formulas, and labels visible in the supplied workbook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 cause inferred only because two events happened close together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Statements and boundaries written in this document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Financial impact, customer harm, or control failure not quantified in a source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Decisions, owners, and dates explicitly stated in the supplied transcript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An owner, target, or deadline that a source does not state</w:t>
            </w:r>
          </w:p>
        </w:tc>
      </w:tr>
    </w:tbl>
    <w:p>
      <w:pPr>
        <w:pStyle w:val="Heading1"/>
      </w:pPr>
      <w:r>
        <w:t>Safe-data boundary</w:t>
      </w:r>
    </w:p>
    <w:p>
      <w:pPr>
        <w:spacing w:before="80" w:after="140" w:line="264" w:lineRule="auto"/>
        <w:ind w:left="173" w:right="173"/>
        <w:shd w:fill="FCEDEE"/>
      </w:pPr>
      <w:r>
        <w:rPr>
          <w:b/>
          <w:color w:val="13294B"/>
        </w:rPr>
        <w:t>Use only the supplied synthetic materials</w:t>
        <w:br/>
      </w:r>
      <w:r>
        <w:t>Do not add client records, participant details, real claim information, tenant URLs, passwords, secrets, or confidential operational content. Keep drafts unsent and unshared outside the workshop unless the facilitator explicitly approves a safe destination.</w:t>
      </w:r>
    </w:p>
    <w:p>
      <w:pPr>
        <w:pStyle w:val="Heading1"/>
      </w:pPr>
      <w:r>
        <w:t>Source map</w:t>
      </w:r>
    </w:p>
    <w:p>
      <w:r>
        <w:t>Operational context: this document • Daily metrics and formulas: Asteria_Service_KPI_28days.xlsx • Meeting decisions and actions: Asteria_Executive_Review_Transcript.vtt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E5966"/>
        <w:sz w:val="15"/>
      </w:rPr>
      <w:t>Fictional data • No production use • Human verification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1677C8"/>
        <w:sz w:val="15"/>
      </w:rPr>
      <w:t>ASTERIA INSURANCE  •  SYNTHETIC WORKSHOP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7C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9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Asteria Operational Context and Decision Questions</dc:title>
  <dc:subject>Synthetic learner material for Microsoft 365 Copilot practice</dc:subject>
  <dc:creator>Workshop Design Team</dc:creator>
  <cp:keywords>synthetic, workshop, Asteria Insurance</cp:keywords>
  <dc:description>Contains no participant or client operational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