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Asteria Teams Meeting Recap</w:t>
      </w:r>
    </w:p>
    <w:p>
      <w:pPr>
        <w:spacing w:after="200"/>
      </w:pPr>
      <w:r>
        <w:rPr>
          <w:b/>
          <w:color w:val="1677C8"/>
          <w:sz w:val="22"/>
        </w:rPr>
        <w:t>Portable meeting source for executive presentation practice</w:t>
      </w:r>
    </w:p>
    <w:p>
      <w:pPr>
        <w:spacing w:before="80" w:after="140" w:line="264" w:lineRule="auto"/>
        <w:ind w:left="173" w:right="173"/>
        <w:shd w:fill="EAF3FB"/>
      </w:pPr>
      <w:r>
        <w:rPr>
          <w:b/>
          <w:color w:val="13294B"/>
        </w:rPr>
        <w:t>Guaranteed classroom fallback</w:t>
        <w:br/>
      </w:r>
      <w:r>
        <w:t>This recap is a synthetic equivalent of permitted Teams meeting data. Use it when a safe real meeting or direct Teams reference is unavailable. Do not combine this fictional Asteria case with real organizational content.</w:t>
      </w:r>
    </w:p>
    <w:p>
      <w:pPr>
        <w:pStyle w:val="Heading1"/>
      </w:pPr>
      <w:r>
        <w:t>Meeting details</w:t>
      </w:r>
    </w:p>
    <w:tbl>
      <w:tblPr>
        <w:tblStyle w:val="TableGrid"/>
        <w:tblW w:type="auto" w:w="0"/>
        <w:tblLayout w:type="fixed"/>
        <w:tblLook w:firstColumn="1" w:firstRow="1" w:lastColumn="0" w:lastRow="0" w:noHBand="0" w:noVBand="1" w:val="04A0"/>
      </w:tblPr>
      <w:tblGrid>
        <w:gridCol w:w="5141"/>
        <w:gridCol w:w="5141"/>
      </w:tblGrid>
      <w:tr>
        <w:trPr>
          <w:tblHeader w:val="true"/>
          <w:cantSplit/>
        </w:trPr>
        <w:tc>
          <w:tcPr>
            <w:tcW w:type="dxa" w:w="2232"/>
            <w:shd w:fill="13294B"/>
            <w:vAlign w:val="center"/>
            <w:tcMar>
              <w:top w:w="70" w:type="dxa"/>
              <w:start w:w="90" w:type="dxa"/>
              <w:bottom w:w="70" w:type="dxa"/>
              <w:end w:w="90" w:type="dxa"/>
            </w:tcMar>
          </w:tcPr>
          <w:p>
            <w:pPr>
              <w:spacing w:after="0"/>
            </w:pPr>
            <w:r>
              <w:rPr>
                <w:rFonts w:ascii="Aptos" w:hAnsi="Aptos"/>
                <w:b/>
                <w:color w:val="FFFFFF"/>
                <w:sz w:val="16"/>
              </w:rPr>
              <w:t>Field</w:t>
            </w:r>
          </w:p>
        </w:tc>
        <w:tc>
          <w:tcPr>
            <w:tcW w:type="dxa" w:w="7560"/>
            <w:shd w:fill="13294B"/>
            <w:vAlign w:val="center"/>
            <w:tcMar>
              <w:top w:w="70" w:type="dxa"/>
              <w:start w:w="90" w:type="dxa"/>
              <w:bottom w:w="70" w:type="dxa"/>
              <w:end w:w="90" w:type="dxa"/>
            </w:tcMar>
          </w:tcPr>
          <w:p>
            <w:pPr>
              <w:spacing w:after="0"/>
            </w:pPr>
            <w:r>
              <w:rPr>
                <w:rFonts w:ascii="Aptos" w:hAnsi="Aptos"/>
                <w:b/>
                <w:color w:val="FFFFFF"/>
                <w:sz w:val="16"/>
              </w:rPr>
              <w:t>Value</w:t>
            </w:r>
          </w:p>
        </w:tc>
      </w:tr>
      <w:tr>
        <w:trPr>
          <w:cantSplit/>
        </w:trPr>
        <w:tc>
          <w:tcPr>
            <w:tcW w:type="dxa" w:w="2232"/>
            <w:tcMar>
              <w:top w:w="70" w:type="dxa"/>
              <w:start w:w="90" w:type="dxa"/>
              <w:bottom w:w="70" w:type="dxa"/>
              <w:end w:w="90" w:type="dxa"/>
            </w:tcMar>
          </w:tcPr>
          <w:p>
            <w:pPr>
              <w:spacing w:after="0"/>
            </w:pPr>
            <w:r>
              <w:rPr>
                <w:rFonts w:ascii="Aptos" w:hAnsi="Aptos"/>
                <w:sz w:val="16"/>
              </w:rPr>
              <w:t>Title</w:t>
            </w:r>
          </w:p>
        </w:tc>
        <w:tc>
          <w:tcPr>
            <w:tcW w:type="dxa" w:w="7560"/>
            <w:tcMar>
              <w:top w:w="70" w:type="dxa"/>
              <w:start w:w="90" w:type="dxa"/>
              <w:bottom w:w="70" w:type="dxa"/>
              <w:end w:w="90" w:type="dxa"/>
            </w:tcMar>
          </w:tcPr>
          <w:p>
            <w:pPr>
              <w:spacing w:after="0"/>
            </w:pPr>
            <w:r>
              <w:rPr>
                <w:rFonts w:ascii="Aptos" w:hAnsi="Aptos"/>
                <w:sz w:val="16"/>
              </w:rPr>
              <w:t>Asteria service recovery executive review</w:t>
            </w:r>
          </w:p>
        </w:tc>
      </w:tr>
      <w:tr>
        <w:trPr>
          <w:cantSplit/>
        </w:trPr>
        <w:tc>
          <w:tcPr>
            <w:tcW w:type="dxa" w:w="2232"/>
            <w:tcMar>
              <w:top w:w="70" w:type="dxa"/>
              <w:start w:w="90" w:type="dxa"/>
              <w:bottom w:w="70" w:type="dxa"/>
              <w:end w:w="90" w:type="dxa"/>
            </w:tcMar>
          </w:tcPr>
          <w:p>
            <w:pPr>
              <w:spacing w:after="0"/>
            </w:pPr>
            <w:r>
              <w:rPr>
                <w:rFonts w:ascii="Aptos" w:hAnsi="Aptos"/>
                <w:sz w:val="16"/>
              </w:rPr>
              <w:t>Date</w:t>
            </w:r>
          </w:p>
        </w:tc>
        <w:tc>
          <w:tcPr>
            <w:tcW w:type="dxa" w:w="7560"/>
            <w:tcMar>
              <w:top w:w="70" w:type="dxa"/>
              <w:start w:w="90" w:type="dxa"/>
              <w:bottom w:w="70" w:type="dxa"/>
              <w:end w:w="90" w:type="dxa"/>
            </w:tcMar>
          </w:tcPr>
          <w:p>
            <w:pPr>
              <w:spacing w:after="0"/>
            </w:pPr>
            <w:r>
              <w:rPr>
                <w:rFonts w:ascii="Aptos" w:hAnsi="Aptos"/>
                <w:sz w:val="16"/>
              </w:rPr>
              <w:t>28 September 2026</w:t>
            </w:r>
          </w:p>
        </w:tc>
      </w:tr>
      <w:tr>
        <w:trPr>
          <w:cantSplit/>
        </w:trPr>
        <w:tc>
          <w:tcPr>
            <w:tcW w:type="dxa" w:w="2232"/>
            <w:tcMar>
              <w:top w:w="70" w:type="dxa"/>
              <w:start w:w="90" w:type="dxa"/>
              <w:bottom w:w="70" w:type="dxa"/>
              <w:end w:w="90" w:type="dxa"/>
            </w:tcMar>
          </w:tcPr>
          <w:p>
            <w:pPr>
              <w:spacing w:after="0"/>
            </w:pPr>
            <w:r>
              <w:rPr>
                <w:rFonts w:ascii="Aptos" w:hAnsi="Aptos"/>
                <w:sz w:val="16"/>
              </w:rPr>
              <w:t>Purpose</w:t>
            </w:r>
          </w:p>
        </w:tc>
        <w:tc>
          <w:tcPr>
            <w:tcW w:type="dxa" w:w="7560"/>
            <w:tcMar>
              <w:top w:w="70" w:type="dxa"/>
              <w:start w:w="90" w:type="dxa"/>
              <w:bottom w:w="70" w:type="dxa"/>
              <w:end w:w="90" w:type="dxa"/>
            </w:tcMar>
          </w:tcPr>
          <w:p>
            <w:pPr>
              <w:spacing w:after="0"/>
            </w:pPr>
            <w:r>
              <w:rPr>
                <w:rFonts w:ascii="Aptos" w:hAnsi="Aptos"/>
                <w:sz w:val="16"/>
              </w:rPr>
              <w:t>Confirm whether to run a focused service recovery review and record accountable next actions</w:t>
            </w:r>
          </w:p>
        </w:tc>
      </w:tr>
      <w:tr>
        <w:trPr>
          <w:cantSplit/>
        </w:trPr>
        <w:tc>
          <w:tcPr>
            <w:tcW w:type="dxa" w:w="2232"/>
            <w:tcMar>
              <w:top w:w="70" w:type="dxa"/>
              <w:start w:w="90" w:type="dxa"/>
              <w:bottom w:w="70" w:type="dxa"/>
              <w:end w:w="90" w:type="dxa"/>
            </w:tcMar>
          </w:tcPr>
          <w:p>
            <w:pPr>
              <w:spacing w:after="0"/>
            </w:pPr>
            <w:r>
              <w:rPr>
                <w:rFonts w:ascii="Aptos" w:hAnsi="Aptos"/>
                <w:sz w:val="16"/>
              </w:rPr>
              <w:t>Participant roles</w:t>
            </w:r>
          </w:p>
        </w:tc>
        <w:tc>
          <w:tcPr>
            <w:tcW w:type="dxa" w:w="7560"/>
            <w:tcMar>
              <w:top w:w="70" w:type="dxa"/>
              <w:start w:w="90" w:type="dxa"/>
              <w:bottom w:w="70" w:type="dxa"/>
              <w:end w:w="90" w:type="dxa"/>
            </w:tcMar>
          </w:tcPr>
          <w:p>
            <w:pPr>
              <w:spacing w:after="0"/>
            </w:pPr>
            <w:r>
              <w:rPr>
                <w:rFonts w:ascii="Aptos" w:hAnsi="Aptos"/>
                <w:sz w:val="16"/>
              </w:rPr>
              <w:t>Meeting Chair, Operations, Technology, and Finance</w:t>
            </w:r>
          </w:p>
        </w:tc>
      </w:tr>
      <w:tr>
        <w:trPr>
          <w:cantSplit/>
        </w:trPr>
        <w:tc>
          <w:tcPr>
            <w:tcW w:type="dxa" w:w="2232"/>
            <w:tcMar>
              <w:top w:w="70" w:type="dxa"/>
              <w:start w:w="90" w:type="dxa"/>
              <w:bottom w:w="70" w:type="dxa"/>
              <w:end w:w="90" w:type="dxa"/>
            </w:tcMar>
          </w:tcPr>
          <w:p>
            <w:pPr>
              <w:spacing w:after="0"/>
            </w:pPr>
            <w:r>
              <w:rPr>
                <w:rFonts w:ascii="Aptos" w:hAnsi="Aptos"/>
                <w:sz w:val="16"/>
              </w:rPr>
              <w:t>Authoritative source</w:t>
            </w:r>
          </w:p>
        </w:tc>
        <w:tc>
          <w:tcPr>
            <w:tcW w:type="dxa" w:w="7560"/>
            <w:tcMar>
              <w:top w:w="70" w:type="dxa"/>
              <w:start w:w="90" w:type="dxa"/>
              <w:bottom w:w="70" w:type="dxa"/>
              <w:end w:w="90" w:type="dxa"/>
            </w:tcMar>
          </w:tcPr>
          <w:p>
            <w:pPr>
              <w:spacing w:after="0"/>
            </w:pPr>
            <w:r>
              <w:rPr>
                <w:rFonts w:ascii="Aptos" w:hAnsi="Aptos"/>
                <w:sz w:val="16"/>
              </w:rPr>
              <w:t>Asteria_Executive_Review_Transcript.vtt</w:t>
            </w:r>
          </w:p>
        </w:tc>
      </w:tr>
    </w:tbl>
    <w:p>
      <w:pPr>
        <w:pStyle w:val="Heading1"/>
      </w:pPr>
      <w:r>
        <w:t>Discussion summary</w:t>
      </w:r>
    </w:p>
    <w:p>
      <w:pPr>
        <w:pStyle w:val="ListBullet"/>
        <w:spacing w:after="50"/>
      </w:pPr>
      <w:r>
        <w:t>Operations reported that Claim TAT was above the 48-hour SLA from 14 to 17 September and that complaints were highest from 19 to 21 September.</w:t>
      </w:r>
    </w:p>
    <w:p>
      <w:pPr>
        <w:pStyle w:val="ListBullet"/>
        <w:spacing w:after="50"/>
      </w:pPr>
      <w:r>
        <w:t>The meeting did not establish that the routing-rule deployment caused either pattern.</w:t>
      </w:r>
    </w:p>
    <w:p>
      <w:pPr>
        <w:pStyle w:val="ListBullet"/>
        <w:spacing w:after="50"/>
      </w:pPr>
      <w:r>
        <w:t>Finance would not confirm a financial effect until the required cost inputs are validated.</w:t>
      </w:r>
    </w:p>
    <w:p>
      <w:pPr>
        <w:pStyle w:val="ListBullet"/>
        <w:spacing w:after="50"/>
      </w:pPr>
      <w:r>
        <w:t>Technology can inspect the change log and error queue only after the unresolved Security-access dependency is cleared.</w:t>
      </w:r>
    </w:p>
    <w:p>
      <w:pPr>
        <w:pStyle w:val="Heading1"/>
      </w:pPr>
      <w:r>
        <w:t>Confirmed decisions</w:t>
      </w:r>
    </w:p>
    <w:tbl>
      <w:tblPr>
        <w:tblStyle w:val="TableGrid"/>
        <w:tblW w:type="auto" w:w="0"/>
        <w:tblLayout w:type="fixed"/>
        <w:tblLook w:firstColumn="1" w:firstRow="1" w:lastColumn="0" w:lastRow="0" w:noHBand="0" w:noVBand="1" w:val="04A0"/>
      </w:tblPr>
      <w:tblGrid>
        <w:gridCol w:w="3427"/>
        <w:gridCol w:w="3427"/>
        <w:gridCol w:w="3427"/>
      </w:tblGrid>
      <w:tr>
        <w:trPr>
          <w:tblHeader w:val="true"/>
          <w:cantSplit/>
        </w:trPr>
        <w:tc>
          <w:tcPr>
            <w:tcW w:type="dxa" w:w="1584"/>
            <w:shd w:fill="13294B"/>
            <w:vAlign w:val="center"/>
            <w:tcMar>
              <w:top w:w="70" w:type="dxa"/>
              <w:start w:w="90" w:type="dxa"/>
              <w:bottom w:w="70" w:type="dxa"/>
              <w:end w:w="90" w:type="dxa"/>
            </w:tcMar>
          </w:tcPr>
          <w:p>
            <w:pPr>
              <w:spacing w:after="0"/>
            </w:pPr>
            <w:r>
              <w:rPr>
                <w:rFonts w:ascii="Aptos" w:hAnsi="Aptos"/>
                <w:b/>
                <w:color w:val="FFFFFF"/>
                <w:sz w:val="16"/>
              </w:rPr>
              <w:t>Transcript time</w:t>
            </w:r>
          </w:p>
        </w:tc>
        <w:tc>
          <w:tcPr>
            <w:tcW w:type="dxa" w:w="6552"/>
            <w:shd w:fill="13294B"/>
            <w:vAlign w:val="center"/>
            <w:tcMar>
              <w:top w:w="70" w:type="dxa"/>
              <w:start w:w="90" w:type="dxa"/>
              <w:bottom w:w="70" w:type="dxa"/>
              <w:end w:w="90" w:type="dxa"/>
            </w:tcMar>
          </w:tcPr>
          <w:p>
            <w:pPr>
              <w:spacing w:after="0"/>
            </w:pPr>
            <w:r>
              <w:rPr>
                <w:rFonts w:ascii="Aptos" w:hAnsi="Aptos"/>
                <w:b/>
                <w:color w:val="FFFFFF"/>
                <w:sz w:val="16"/>
              </w:rPr>
              <w:t>Confirmed record</w:t>
            </w:r>
          </w:p>
        </w:tc>
        <w:tc>
          <w:tcPr>
            <w:tcW w:type="dxa" w:w="1656"/>
            <w:shd w:fill="13294B"/>
            <w:vAlign w:val="center"/>
            <w:tcMar>
              <w:top w:w="70" w:type="dxa"/>
              <w:start w:w="90" w:type="dxa"/>
              <w:bottom w:w="70" w:type="dxa"/>
              <w:end w:w="90" w:type="dxa"/>
            </w:tcMar>
          </w:tcPr>
          <w:p>
            <w:pPr>
              <w:spacing w:after="0"/>
            </w:pPr>
            <w:r>
              <w:rPr>
                <w:rFonts w:ascii="Aptos" w:hAnsi="Aptos"/>
                <w:b/>
                <w:color w:val="FFFFFF"/>
                <w:sz w:val="16"/>
              </w:rPr>
              <w:t>Evidence status</w:t>
            </w:r>
          </w:p>
        </w:tc>
      </w:tr>
      <w:tr>
        <w:trPr>
          <w:cantSplit/>
        </w:trPr>
        <w:tc>
          <w:tcPr>
            <w:tcW w:type="dxa" w:w="1584"/>
            <w:tcMar>
              <w:top w:w="70" w:type="dxa"/>
              <w:start w:w="90" w:type="dxa"/>
              <w:bottom w:w="70" w:type="dxa"/>
              <w:end w:w="90" w:type="dxa"/>
            </w:tcMar>
          </w:tcPr>
          <w:p>
            <w:pPr>
              <w:spacing w:after="0"/>
            </w:pPr>
            <w:r>
              <w:rPr>
                <w:rFonts w:ascii="Aptos" w:hAnsi="Aptos"/>
                <w:sz w:val="16"/>
              </w:rPr>
              <w:t>00:01:17</w:t>
            </w:r>
          </w:p>
        </w:tc>
        <w:tc>
          <w:tcPr>
            <w:tcW w:type="dxa" w:w="6552"/>
            <w:tcMar>
              <w:top w:w="70" w:type="dxa"/>
              <w:start w:w="90" w:type="dxa"/>
              <w:bottom w:w="70" w:type="dxa"/>
              <w:end w:w="90" w:type="dxa"/>
            </w:tcMar>
          </w:tcPr>
          <w:p>
            <w:pPr>
              <w:spacing w:after="0"/>
            </w:pPr>
            <w:r>
              <w:rPr>
                <w:rFonts w:ascii="Aptos" w:hAnsi="Aptos"/>
                <w:sz w:val="16"/>
              </w:rPr>
              <w:t>Run a seven-day service recovery review focused on the affected claims queue.</w:t>
            </w:r>
          </w:p>
        </w:tc>
        <w:tc>
          <w:tcPr>
            <w:tcW w:type="dxa" w:w="1656"/>
            <w:tcMar>
              <w:top w:w="70" w:type="dxa"/>
              <w:start w:w="90" w:type="dxa"/>
              <w:bottom w:w="70" w:type="dxa"/>
              <w:end w:w="90" w:type="dxa"/>
            </w:tcMar>
          </w:tcPr>
          <w:p>
            <w:pPr>
              <w:spacing w:after="0"/>
            </w:pPr>
            <w:r>
              <w:rPr>
                <w:rFonts w:ascii="Aptos" w:hAnsi="Aptos"/>
                <w:sz w:val="16"/>
              </w:rPr>
              <w:t>Confirmed by Meeting Chair</w:t>
            </w:r>
          </w:p>
        </w:tc>
      </w:tr>
    </w:tbl>
    <w:p>
      <w:pPr>
        <w:pStyle w:val="Heading1"/>
      </w:pPr>
      <w:r>
        <w:t>Confirmed actions</w:t>
      </w:r>
    </w:p>
    <w:tbl>
      <w:tblPr>
        <w:tblStyle w:val="TableGrid"/>
        <w:tblW w:type="auto" w:w="0"/>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296"/>
            <w:shd w:fill="13294B"/>
            <w:vAlign w:val="center"/>
            <w:tcMar>
              <w:top w:w="70" w:type="dxa"/>
              <w:start w:w="90" w:type="dxa"/>
              <w:bottom w:w="70" w:type="dxa"/>
              <w:end w:w="90" w:type="dxa"/>
            </w:tcMar>
          </w:tcPr>
          <w:p>
            <w:pPr>
              <w:spacing w:after="0"/>
            </w:pPr>
            <w:r>
              <w:rPr>
                <w:rFonts w:ascii="Aptos" w:hAnsi="Aptos"/>
                <w:b/>
                <w:color w:val="FFFFFF"/>
                <w:sz w:val="16"/>
              </w:rPr>
              <w:t>Transcript time</w:t>
            </w:r>
          </w:p>
        </w:tc>
        <w:tc>
          <w:tcPr>
            <w:tcW w:type="dxa" w:w="3096"/>
            <w:shd w:fill="13294B"/>
            <w:vAlign w:val="center"/>
            <w:tcMar>
              <w:top w:w="70" w:type="dxa"/>
              <w:start w:w="90" w:type="dxa"/>
              <w:bottom w:w="70" w:type="dxa"/>
              <w:end w:w="90" w:type="dxa"/>
            </w:tcMar>
          </w:tcPr>
          <w:p>
            <w:pPr>
              <w:spacing w:after="0"/>
            </w:pPr>
            <w:r>
              <w:rPr>
                <w:rFonts w:ascii="Aptos" w:hAnsi="Aptos"/>
                <w:b/>
                <w:color w:val="FFFFFF"/>
                <w:sz w:val="16"/>
              </w:rPr>
              <w:t>Action</w:t>
            </w:r>
          </w:p>
        </w:tc>
        <w:tc>
          <w:tcPr>
            <w:tcW w:type="dxa" w:w="1512"/>
            <w:shd w:fill="13294B"/>
            <w:vAlign w:val="center"/>
            <w:tcMar>
              <w:top w:w="70" w:type="dxa"/>
              <w:start w:w="90" w:type="dxa"/>
              <w:bottom w:w="70" w:type="dxa"/>
              <w:end w:w="90" w:type="dxa"/>
            </w:tcMar>
          </w:tcPr>
          <w:p>
            <w:pPr>
              <w:spacing w:after="0"/>
            </w:pPr>
            <w:r>
              <w:rPr>
                <w:rFonts w:ascii="Aptos" w:hAnsi="Aptos"/>
                <w:b/>
                <w:color w:val="FFFFFF"/>
                <w:sz w:val="16"/>
              </w:rPr>
              <w:t>Owner</w:t>
            </w:r>
          </w:p>
        </w:tc>
        <w:tc>
          <w:tcPr>
            <w:tcW w:type="dxa" w:w="1584"/>
            <w:shd w:fill="13294B"/>
            <w:vAlign w:val="center"/>
            <w:tcMar>
              <w:top w:w="70" w:type="dxa"/>
              <w:start w:w="90" w:type="dxa"/>
              <w:bottom w:w="70" w:type="dxa"/>
              <w:end w:w="90" w:type="dxa"/>
            </w:tcMar>
          </w:tcPr>
          <w:p>
            <w:pPr>
              <w:spacing w:after="0"/>
            </w:pPr>
            <w:r>
              <w:rPr>
                <w:rFonts w:ascii="Aptos" w:hAnsi="Aptos"/>
                <w:b/>
                <w:color w:val="FFFFFF"/>
                <w:sz w:val="16"/>
              </w:rPr>
              <w:t>Due date</w:t>
            </w:r>
          </w:p>
        </w:tc>
        <w:tc>
          <w:tcPr>
            <w:tcW w:type="dxa" w:w="2304"/>
            <w:shd w:fill="13294B"/>
            <w:vAlign w:val="center"/>
            <w:tcMar>
              <w:top w:w="70" w:type="dxa"/>
              <w:start w:w="90" w:type="dxa"/>
              <w:bottom w:w="70" w:type="dxa"/>
              <w:end w:w="90" w:type="dxa"/>
            </w:tcMar>
          </w:tcPr>
          <w:p>
            <w:pPr>
              <w:spacing w:after="0"/>
            </w:pPr>
            <w:r>
              <w:rPr>
                <w:rFonts w:ascii="Aptos" w:hAnsi="Aptos"/>
                <w:b/>
                <w:color w:val="FFFFFF"/>
                <w:sz w:val="16"/>
              </w:rPr>
              <w:t>Dependency / status</w:t>
            </w:r>
          </w:p>
        </w:tc>
      </w:tr>
      <w:tr>
        <w:trPr>
          <w:cantSplit/>
        </w:trPr>
        <w:tc>
          <w:tcPr>
            <w:tcW w:type="dxa" w:w="1296"/>
            <w:tcMar>
              <w:top w:w="70" w:type="dxa"/>
              <w:start w:w="90" w:type="dxa"/>
              <w:bottom w:w="70" w:type="dxa"/>
              <w:end w:w="90" w:type="dxa"/>
            </w:tcMar>
          </w:tcPr>
          <w:p>
            <w:pPr>
              <w:spacing w:after="0"/>
            </w:pPr>
            <w:r>
              <w:rPr>
                <w:rFonts w:ascii="Aptos" w:hAnsi="Aptos"/>
                <w:sz w:val="16"/>
              </w:rPr>
              <w:t>00:01:17</w:t>
            </w:r>
          </w:p>
        </w:tc>
        <w:tc>
          <w:tcPr>
            <w:tcW w:type="dxa" w:w="3096"/>
            <w:tcMar>
              <w:top w:w="70" w:type="dxa"/>
              <w:start w:w="90" w:type="dxa"/>
              <w:bottom w:w="70" w:type="dxa"/>
              <w:end w:w="90" w:type="dxa"/>
            </w:tcMar>
          </w:tcPr>
          <w:p>
            <w:pPr>
              <w:spacing w:after="0"/>
            </w:pPr>
            <w:r>
              <w:rPr>
                <w:rFonts w:ascii="Aptos" w:hAnsi="Aptos"/>
                <w:sz w:val="16"/>
              </w:rPr>
              <w:t>Complete a daily review of the affected claims queue</w:t>
            </w:r>
          </w:p>
        </w:tc>
        <w:tc>
          <w:tcPr>
            <w:tcW w:type="dxa" w:w="1512"/>
            <w:tcMar>
              <w:top w:w="70" w:type="dxa"/>
              <w:start w:w="90" w:type="dxa"/>
              <w:bottom w:w="70" w:type="dxa"/>
              <w:end w:w="90" w:type="dxa"/>
            </w:tcMar>
          </w:tcPr>
          <w:p>
            <w:pPr>
              <w:spacing w:after="0"/>
            </w:pPr>
            <w:r>
              <w:rPr>
                <w:rFonts w:ascii="Aptos" w:hAnsi="Aptos"/>
                <w:sz w:val="16"/>
              </w:rPr>
              <w:t>Operations</w:t>
            </w:r>
          </w:p>
        </w:tc>
        <w:tc>
          <w:tcPr>
            <w:tcW w:type="dxa" w:w="1584"/>
            <w:tcMar>
              <w:top w:w="70" w:type="dxa"/>
              <w:start w:w="90" w:type="dxa"/>
              <w:bottom w:w="70" w:type="dxa"/>
              <w:end w:w="90" w:type="dxa"/>
            </w:tcMar>
          </w:tcPr>
          <w:p>
            <w:pPr>
              <w:spacing w:after="0"/>
            </w:pPr>
            <w:r>
              <w:rPr>
                <w:rFonts w:ascii="Aptos" w:hAnsi="Aptos"/>
                <w:sz w:val="16"/>
              </w:rPr>
              <w:t>29 Sep to 5 Oct 2026</w:t>
            </w:r>
          </w:p>
        </w:tc>
        <w:tc>
          <w:tcPr>
            <w:tcW w:type="dxa" w:w="2304"/>
            <w:tcMar>
              <w:top w:w="70" w:type="dxa"/>
              <w:start w:w="90" w:type="dxa"/>
              <w:bottom w:w="70" w:type="dxa"/>
              <w:end w:w="90" w:type="dxa"/>
            </w:tcMar>
          </w:tcPr>
          <w:p>
            <w:pPr>
              <w:spacing w:after="0"/>
            </w:pPr>
            <w:r>
              <w:rPr>
                <w:rFonts w:ascii="Aptos" w:hAnsi="Aptos"/>
                <w:sz w:val="16"/>
              </w:rPr>
              <w:t>Confirmed</w:t>
            </w:r>
          </w:p>
        </w:tc>
      </w:tr>
      <w:tr>
        <w:trPr>
          <w:cantSplit/>
        </w:trPr>
        <w:tc>
          <w:tcPr>
            <w:tcW w:type="dxa" w:w="1296"/>
            <w:tcMar>
              <w:top w:w="70" w:type="dxa"/>
              <w:start w:w="90" w:type="dxa"/>
              <w:bottom w:w="70" w:type="dxa"/>
              <w:end w:w="90" w:type="dxa"/>
            </w:tcMar>
          </w:tcPr>
          <w:p>
            <w:pPr>
              <w:spacing w:after="0"/>
            </w:pPr>
            <w:r>
              <w:rPr>
                <w:rFonts w:ascii="Aptos" w:hAnsi="Aptos"/>
                <w:sz w:val="16"/>
              </w:rPr>
              <w:t>00:01:36</w:t>
            </w:r>
          </w:p>
        </w:tc>
        <w:tc>
          <w:tcPr>
            <w:tcW w:type="dxa" w:w="3096"/>
            <w:tcMar>
              <w:top w:w="70" w:type="dxa"/>
              <w:start w:w="90" w:type="dxa"/>
              <w:bottom w:w="70" w:type="dxa"/>
              <w:end w:w="90" w:type="dxa"/>
            </w:tcMar>
          </w:tcPr>
          <w:p>
            <w:pPr>
              <w:spacing w:after="0"/>
            </w:pPr>
            <w:r>
              <w:rPr>
                <w:rFonts w:ascii="Aptos" w:hAnsi="Aptos"/>
                <w:sz w:val="16"/>
              </w:rPr>
              <w:t>Share the reviewed queue log</w:t>
            </w:r>
          </w:p>
        </w:tc>
        <w:tc>
          <w:tcPr>
            <w:tcW w:type="dxa" w:w="1512"/>
            <w:tcMar>
              <w:top w:w="70" w:type="dxa"/>
              <w:start w:w="90" w:type="dxa"/>
              <w:bottom w:w="70" w:type="dxa"/>
              <w:end w:w="90" w:type="dxa"/>
            </w:tcMar>
          </w:tcPr>
          <w:p>
            <w:pPr>
              <w:spacing w:after="0"/>
            </w:pPr>
            <w:r>
              <w:rPr>
                <w:rFonts w:ascii="Aptos" w:hAnsi="Aptos"/>
                <w:sz w:val="16"/>
              </w:rPr>
              <w:t>Narin / Operations</w:t>
            </w:r>
          </w:p>
        </w:tc>
        <w:tc>
          <w:tcPr>
            <w:tcW w:type="dxa" w:w="1584"/>
            <w:tcMar>
              <w:top w:w="70" w:type="dxa"/>
              <w:start w:w="90" w:type="dxa"/>
              <w:bottom w:w="70" w:type="dxa"/>
              <w:end w:w="90" w:type="dxa"/>
            </w:tcMar>
          </w:tcPr>
          <w:p>
            <w:pPr>
              <w:spacing w:after="0"/>
            </w:pPr>
            <w:r>
              <w:rPr>
                <w:rFonts w:ascii="Aptos" w:hAnsi="Aptos"/>
                <w:sz w:val="16"/>
              </w:rPr>
              <w:t>5 Oct 2026</w:t>
            </w:r>
          </w:p>
        </w:tc>
        <w:tc>
          <w:tcPr>
            <w:tcW w:type="dxa" w:w="2304"/>
            <w:tcMar>
              <w:top w:w="70" w:type="dxa"/>
              <w:start w:w="90" w:type="dxa"/>
              <w:bottom w:w="70" w:type="dxa"/>
              <w:end w:w="90" w:type="dxa"/>
            </w:tcMar>
          </w:tcPr>
          <w:p>
            <w:pPr>
              <w:spacing w:after="0"/>
            </w:pPr>
            <w:r>
              <w:rPr>
                <w:rFonts w:ascii="Aptos" w:hAnsi="Aptos"/>
                <w:sz w:val="16"/>
              </w:rPr>
              <w:t>Confirmed</w:t>
            </w:r>
          </w:p>
        </w:tc>
      </w:tr>
      <w:tr>
        <w:trPr>
          <w:cantSplit/>
        </w:trPr>
        <w:tc>
          <w:tcPr>
            <w:tcW w:type="dxa" w:w="1296"/>
            <w:tcMar>
              <w:top w:w="70" w:type="dxa"/>
              <w:start w:w="90" w:type="dxa"/>
              <w:bottom w:w="70" w:type="dxa"/>
              <w:end w:w="90" w:type="dxa"/>
            </w:tcMar>
          </w:tcPr>
          <w:p>
            <w:pPr>
              <w:spacing w:after="0"/>
            </w:pPr>
            <w:r>
              <w:rPr>
                <w:rFonts w:ascii="Aptos" w:hAnsi="Aptos"/>
                <w:sz w:val="16"/>
              </w:rPr>
              <w:t>00:02:34</w:t>
            </w:r>
          </w:p>
        </w:tc>
        <w:tc>
          <w:tcPr>
            <w:tcW w:type="dxa" w:w="3096"/>
            <w:tcMar>
              <w:top w:w="70" w:type="dxa"/>
              <w:start w:w="90" w:type="dxa"/>
              <w:bottom w:w="70" w:type="dxa"/>
              <w:end w:w="90" w:type="dxa"/>
            </w:tcMar>
          </w:tcPr>
          <w:p>
            <w:pPr>
              <w:spacing w:after="0"/>
            </w:pPr>
            <w:r>
              <w:rPr>
                <w:rFonts w:ascii="Aptos" w:hAnsi="Aptos"/>
                <w:sz w:val="16"/>
              </w:rPr>
              <w:t>Provide initial technical findings</w:t>
            </w:r>
          </w:p>
        </w:tc>
        <w:tc>
          <w:tcPr>
            <w:tcW w:type="dxa" w:w="1512"/>
            <w:tcMar>
              <w:top w:w="70" w:type="dxa"/>
              <w:start w:w="90" w:type="dxa"/>
              <w:bottom w:w="70" w:type="dxa"/>
              <w:end w:w="90" w:type="dxa"/>
            </w:tcMar>
          </w:tcPr>
          <w:p>
            <w:pPr>
              <w:spacing w:after="0"/>
            </w:pPr>
            <w:r>
              <w:rPr>
                <w:rFonts w:ascii="Aptos" w:hAnsi="Aptos"/>
                <w:sz w:val="16"/>
              </w:rPr>
              <w:t>Arun / Technology</w:t>
            </w:r>
          </w:p>
        </w:tc>
        <w:tc>
          <w:tcPr>
            <w:tcW w:type="dxa" w:w="1584"/>
            <w:tcMar>
              <w:top w:w="70" w:type="dxa"/>
              <w:start w:w="90" w:type="dxa"/>
              <w:bottom w:w="70" w:type="dxa"/>
              <w:end w:w="90" w:type="dxa"/>
            </w:tcMar>
          </w:tcPr>
          <w:p>
            <w:pPr>
              <w:spacing w:after="0"/>
            </w:pPr>
            <w:r>
              <w:rPr>
                <w:rFonts w:ascii="Aptos" w:hAnsi="Aptos"/>
                <w:sz w:val="16"/>
              </w:rPr>
              <w:t>30 Sep 2026</w:t>
            </w:r>
          </w:p>
        </w:tc>
        <w:tc>
          <w:tcPr>
            <w:tcW w:type="dxa" w:w="2304"/>
            <w:tcMar>
              <w:top w:w="70" w:type="dxa"/>
              <w:start w:w="90" w:type="dxa"/>
              <w:bottom w:w="70" w:type="dxa"/>
              <w:end w:w="90" w:type="dxa"/>
            </w:tcMar>
          </w:tcPr>
          <w:p>
            <w:pPr>
              <w:spacing w:after="0"/>
            </w:pPr>
            <w:r>
              <w:rPr>
                <w:rFonts w:ascii="Aptos" w:hAnsi="Aptos"/>
                <w:sz w:val="16"/>
              </w:rPr>
              <w:t>Requires Security access</w:t>
            </w:r>
          </w:p>
        </w:tc>
      </w:tr>
      <w:tr>
        <w:trPr>
          <w:cantSplit/>
        </w:trPr>
        <w:tc>
          <w:tcPr>
            <w:tcW w:type="dxa" w:w="1296"/>
            <w:tcMar>
              <w:top w:w="70" w:type="dxa"/>
              <w:start w:w="90" w:type="dxa"/>
              <w:bottom w:w="70" w:type="dxa"/>
              <w:end w:w="90" w:type="dxa"/>
            </w:tcMar>
          </w:tcPr>
          <w:p>
            <w:pPr>
              <w:spacing w:after="0"/>
            </w:pPr>
            <w:r>
              <w:rPr>
                <w:rFonts w:ascii="Aptos" w:hAnsi="Aptos"/>
                <w:sz w:val="16"/>
              </w:rPr>
              <w:t>00:02:34</w:t>
            </w:r>
          </w:p>
        </w:tc>
        <w:tc>
          <w:tcPr>
            <w:tcW w:type="dxa" w:w="3096"/>
            <w:tcMar>
              <w:top w:w="70" w:type="dxa"/>
              <w:start w:w="90" w:type="dxa"/>
              <w:bottom w:w="70" w:type="dxa"/>
              <w:end w:w="90" w:type="dxa"/>
            </w:tcMar>
          </w:tcPr>
          <w:p>
            <w:pPr>
              <w:spacing w:after="0"/>
            </w:pPr>
            <w:r>
              <w:rPr>
                <w:rFonts w:ascii="Aptos" w:hAnsi="Aptos"/>
                <w:sz w:val="16"/>
              </w:rPr>
              <w:t>Validate cost inputs before estimating financial effect</w:t>
            </w:r>
          </w:p>
        </w:tc>
        <w:tc>
          <w:tcPr>
            <w:tcW w:type="dxa" w:w="1512"/>
            <w:tcMar>
              <w:top w:w="70" w:type="dxa"/>
              <w:start w:w="90" w:type="dxa"/>
              <w:bottom w:w="70" w:type="dxa"/>
              <w:end w:w="90" w:type="dxa"/>
            </w:tcMar>
          </w:tcPr>
          <w:p>
            <w:pPr>
              <w:spacing w:after="0"/>
            </w:pPr>
            <w:r>
              <w:rPr>
                <w:rFonts w:ascii="Aptos" w:hAnsi="Aptos"/>
                <w:sz w:val="16"/>
              </w:rPr>
              <w:t>Finance</w:t>
            </w:r>
          </w:p>
        </w:tc>
        <w:tc>
          <w:tcPr>
            <w:tcW w:type="dxa" w:w="1584"/>
            <w:tcMar>
              <w:top w:w="70" w:type="dxa"/>
              <w:start w:w="90" w:type="dxa"/>
              <w:bottom w:w="70" w:type="dxa"/>
              <w:end w:w="90" w:type="dxa"/>
            </w:tcMar>
          </w:tcPr>
          <w:p>
            <w:pPr>
              <w:spacing w:after="0"/>
            </w:pPr>
            <w:r>
              <w:rPr>
                <w:rFonts w:ascii="Aptos" w:hAnsi="Aptos"/>
                <w:sz w:val="16"/>
              </w:rPr>
              <w:t>To confirm</w:t>
            </w:r>
          </w:p>
        </w:tc>
        <w:tc>
          <w:tcPr>
            <w:tcW w:type="dxa" w:w="2304"/>
            <w:tcMar>
              <w:top w:w="70" w:type="dxa"/>
              <w:start w:w="90" w:type="dxa"/>
              <w:bottom w:w="70" w:type="dxa"/>
              <w:end w:w="90" w:type="dxa"/>
            </w:tcMar>
          </w:tcPr>
          <w:p>
            <w:pPr>
              <w:spacing w:after="0"/>
            </w:pPr>
            <w:r>
              <w:rPr>
                <w:rFonts w:ascii="Aptos" w:hAnsi="Aptos"/>
                <w:sz w:val="16"/>
              </w:rPr>
              <w:t>Completion date not stated</w:t>
            </w:r>
          </w:p>
        </w:tc>
      </w:tr>
    </w:tbl>
    <w:p>
      <w:pPr>
        <w:pStyle w:val="Heading1"/>
      </w:pPr>
      <w:r>
        <w:t>Discussion that was not a commitment</w:t>
      </w:r>
    </w:p>
    <w:tbl>
      <w:tblPr>
        <w:tblStyle w:val="TableGrid"/>
        <w:tblW w:type="auto" w:w="0"/>
        <w:tblLayout w:type="fixed"/>
        <w:tblLook w:firstColumn="1" w:firstRow="1" w:lastColumn="0" w:lastRow="0" w:noHBand="0" w:noVBand="1" w:val="04A0"/>
      </w:tblPr>
      <w:tblGrid>
        <w:gridCol w:w="3427"/>
        <w:gridCol w:w="3427"/>
        <w:gridCol w:w="3427"/>
      </w:tblGrid>
      <w:tr>
        <w:trPr>
          <w:tblHeader w:val="true"/>
          <w:cantSplit/>
        </w:trPr>
        <w:tc>
          <w:tcPr>
            <w:tcW w:type="dxa" w:w="1656"/>
            <w:shd w:fill="13294B"/>
            <w:vAlign w:val="center"/>
            <w:tcMar>
              <w:top w:w="70" w:type="dxa"/>
              <w:start w:w="90" w:type="dxa"/>
              <w:bottom w:w="70" w:type="dxa"/>
              <w:end w:w="90" w:type="dxa"/>
            </w:tcMar>
          </w:tcPr>
          <w:p>
            <w:pPr>
              <w:spacing w:after="0"/>
            </w:pPr>
            <w:r>
              <w:rPr>
                <w:rFonts w:ascii="Aptos" w:hAnsi="Aptos"/>
                <w:b/>
                <w:color w:val="FFFFFF"/>
                <w:sz w:val="16"/>
              </w:rPr>
              <w:t>Source time</w:t>
            </w:r>
          </w:p>
        </w:tc>
        <w:tc>
          <w:tcPr>
            <w:tcW w:type="dxa" w:w="3960"/>
            <w:shd w:fill="13294B"/>
            <w:vAlign w:val="center"/>
            <w:tcMar>
              <w:top w:w="70" w:type="dxa"/>
              <w:start w:w="90" w:type="dxa"/>
              <w:bottom w:w="70" w:type="dxa"/>
              <w:end w:w="90" w:type="dxa"/>
            </w:tcMar>
          </w:tcPr>
          <w:p>
            <w:pPr>
              <w:spacing w:after="0"/>
            </w:pPr>
            <w:r>
              <w:rPr>
                <w:rFonts w:ascii="Aptos" w:hAnsi="Aptos"/>
                <w:b/>
                <w:color w:val="FFFFFF"/>
                <w:sz w:val="16"/>
              </w:rPr>
              <w:t>Statement</w:t>
            </w:r>
          </w:p>
        </w:tc>
        <w:tc>
          <w:tcPr>
            <w:tcW w:type="dxa" w:w="4176"/>
            <w:shd w:fill="13294B"/>
            <w:vAlign w:val="center"/>
            <w:tcMar>
              <w:top w:w="70" w:type="dxa"/>
              <w:start w:w="90" w:type="dxa"/>
              <w:bottom w:w="70" w:type="dxa"/>
              <w:end w:w="90" w:type="dxa"/>
            </w:tcMar>
          </w:tcPr>
          <w:p>
            <w:pPr>
              <w:spacing w:after="0"/>
            </w:pPr>
            <w:r>
              <w:rPr>
                <w:rFonts w:ascii="Aptos" w:hAnsi="Aptos"/>
                <w:b/>
                <w:color w:val="FFFFFF"/>
                <w:sz w:val="16"/>
              </w:rPr>
              <w:t>How to treat it</w:t>
            </w:r>
          </w:p>
        </w:tc>
      </w:tr>
      <w:tr>
        <w:trPr>
          <w:cantSplit/>
        </w:trPr>
        <w:tc>
          <w:tcPr>
            <w:tcW w:type="dxa" w:w="1656"/>
            <w:tcMar>
              <w:top w:w="70" w:type="dxa"/>
              <w:start w:w="90" w:type="dxa"/>
              <w:bottom w:w="70" w:type="dxa"/>
              <w:end w:w="90" w:type="dxa"/>
            </w:tcMar>
          </w:tcPr>
          <w:p>
            <w:pPr>
              <w:spacing w:after="0"/>
            </w:pPr>
            <w:r>
              <w:rPr>
                <w:rFonts w:ascii="Aptos" w:hAnsi="Aptos"/>
                <w:sz w:val="16"/>
              </w:rPr>
              <w:t>Chat 14:19</w:t>
            </w:r>
          </w:p>
        </w:tc>
        <w:tc>
          <w:tcPr>
            <w:tcW w:type="dxa" w:w="3960"/>
            <w:tcMar>
              <w:top w:w="70" w:type="dxa"/>
              <w:start w:w="90" w:type="dxa"/>
              <w:bottom w:w="70" w:type="dxa"/>
              <w:end w:w="90" w:type="dxa"/>
            </w:tcMar>
          </w:tcPr>
          <w:p>
            <w:pPr>
              <w:spacing w:after="0"/>
            </w:pPr>
            <w:r>
              <w:rPr>
                <w:rFonts w:ascii="Aptos" w:hAnsi="Aptos"/>
                <w:sz w:val="16"/>
              </w:rPr>
              <w:t>The chair heard support for a seven-day review.</w:t>
            </w:r>
          </w:p>
        </w:tc>
        <w:tc>
          <w:tcPr>
            <w:tcW w:type="dxa" w:w="4176"/>
            <w:tcMar>
              <w:top w:w="70" w:type="dxa"/>
              <w:start w:w="90" w:type="dxa"/>
              <w:bottom w:w="70" w:type="dxa"/>
              <w:end w:w="90" w:type="dxa"/>
            </w:tcMar>
          </w:tcPr>
          <w:p>
            <w:pPr>
              <w:spacing w:after="0"/>
            </w:pPr>
            <w:r>
              <w:rPr>
                <w:rFonts w:ascii="Aptos" w:hAnsi="Aptos"/>
                <w:sz w:val="16"/>
              </w:rPr>
              <w:t>Discussion only until the chair confirmed the decision in the transcript.</w:t>
            </w:r>
          </w:p>
        </w:tc>
      </w:tr>
      <w:tr>
        <w:trPr>
          <w:cantSplit/>
        </w:trPr>
        <w:tc>
          <w:tcPr>
            <w:tcW w:type="dxa" w:w="1656"/>
            <w:tcMar>
              <w:top w:w="70" w:type="dxa"/>
              <w:start w:w="90" w:type="dxa"/>
              <w:bottom w:w="70" w:type="dxa"/>
              <w:end w:w="90" w:type="dxa"/>
            </w:tcMar>
          </w:tcPr>
          <w:p>
            <w:pPr>
              <w:spacing w:after="0"/>
            </w:pPr>
            <w:r>
              <w:rPr>
                <w:rFonts w:ascii="Aptos" w:hAnsi="Aptos"/>
                <w:sz w:val="16"/>
              </w:rPr>
              <w:t>Chat 14:25</w:t>
            </w:r>
          </w:p>
        </w:tc>
        <w:tc>
          <w:tcPr>
            <w:tcW w:type="dxa" w:w="3960"/>
            <w:tcMar>
              <w:top w:w="70" w:type="dxa"/>
              <w:start w:w="90" w:type="dxa"/>
              <w:bottom w:w="70" w:type="dxa"/>
              <w:end w:w="90" w:type="dxa"/>
            </w:tcMar>
          </w:tcPr>
          <w:p>
            <w:pPr>
              <w:spacing w:after="0"/>
            </w:pPr>
            <w:r>
              <w:rPr>
                <w:rFonts w:ascii="Aptos" w:hAnsi="Aptos"/>
                <w:sz w:val="16"/>
              </w:rPr>
              <w:t>Operations could own the daily review if agreed.</w:t>
            </w:r>
          </w:p>
        </w:tc>
        <w:tc>
          <w:tcPr>
            <w:tcW w:type="dxa" w:w="4176"/>
            <w:tcMar>
              <w:top w:w="70" w:type="dxa"/>
              <w:start w:w="90" w:type="dxa"/>
              <w:bottom w:w="70" w:type="dxa"/>
              <w:end w:w="90" w:type="dxa"/>
            </w:tcMar>
          </w:tcPr>
          <w:p>
            <w:pPr>
              <w:spacing w:after="0"/>
            </w:pPr>
            <w:r>
              <w:rPr>
                <w:rFonts w:ascii="Aptos" w:hAnsi="Aptos"/>
                <w:sz w:val="16"/>
              </w:rPr>
              <w:t>Conditional offer; use the transcript to confirm the action.</w:t>
            </w:r>
          </w:p>
        </w:tc>
      </w:tr>
      <w:tr>
        <w:trPr>
          <w:cantSplit/>
        </w:trPr>
        <w:tc>
          <w:tcPr>
            <w:tcW w:type="dxa" w:w="1656"/>
            <w:tcMar>
              <w:top w:w="70" w:type="dxa"/>
              <w:start w:w="90" w:type="dxa"/>
              <w:bottom w:w="70" w:type="dxa"/>
              <w:end w:w="90" w:type="dxa"/>
            </w:tcMar>
          </w:tcPr>
          <w:p>
            <w:pPr>
              <w:spacing w:after="0"/>
            </w:pPr>
            <w:r>
              <w:rPr>
                <w:rFonts w:ascii="Aptos" w:hAnsi="Aptos"/>
                <w:sz w:val="16"/>
              </w:rPr>
              <w:t>00:00:57</w:t>
            </w:r>
          </w:p>
        </w:tc>
        <w:tc>
          <w:tcPr>
            <w:tcW w:type="dxa" w:w="3960"/>
            <w:tcMar>
              <w:top w:w="70" w:type="dxa"/>
              <w:start w:w="90" w:type="dxa"/>
              <w:bottom w:w="70" w:type="dxa"/>
              <w:end w:w="90" w:type="dxa"/>
            </w:tcMar>
          </w:tcPr>
          <w:p>
            <w:pPr>
              <w:spacing w:after="0"/>
            </w:pPr>
            <w:r>
              <w:rPr>
                <w:rFonts w:ascii="Aptos" w:hAnsi="Aptos"/>
                <w:sz w:val="16"/>
              </w:rPr>
              <w:t>Technology could inspect logs after access approval.</w:t>
            </w:r>
          </w:p>
        </w:tc>
        <w:tc>
          <w:tcPr>
            <w:tcW w:type="dxa" w:w="4176"/>
            <w:tcMar>
              <w:top w:w="70" w:type="dxa"/>
              <w:start w:w="90" w:type="dxa"/>
              <w:bottom w:w="70" w:type="dxa"/>
              <w:end w:w="90" w:type="dxa"/>
            </w:tcMar>
          </w:tcPr>
          <w:p>
            <w:pPr>
              <w:spacing w:after="0"/>
            </w:pPr>
            <w:r>
              <w:rPr>
                <w:rFonts w:ascii="Aptos" w:hAnsi="Aptos"/>
                <w:sz w:val="16"/>
              </w:rPr>
              <w:t>Dependency remains unresolved; do not imply access was granted.</w:t>
            </w:r>
          </w:p>
        </w:tc>
      </w:tr>
    </w:tbl>
    <w:p>
      <w:pPr>
        <w:pStyle w:val="Heading1"/>
      </w:pPr>
      <w:r>
        <w:t>Unresolved dependencies and missing information</w:t>
      </w:r>
    </w:p>
    <w:p>
      <w:pPr>
        <w:pStyle w:val="ListBullet"/>
        <w:spacing w:after="50"/>
      </w:pPr>
      <w:r>
        <w:t>Security access approver and approval date: To confirm.</w:t>
      </w:r>
    </w:p>
    <w:p>
      <w:pPr>
        <w:pStyle w:val="ListBullet"/>
        <w:spacing w:after="50"/>
      </w:pPr>
      <w:r>
        <w:t>Finance completion date and validated financial effect: To confirm.</w:t>
      </w:r>
    </w:p>
    <w:p>
      <w:pPr>
        <w:pStyle w:val="ListBullet"/>
        <w:spacing w:after="50"/>
      </w:pPr>
      <w:r>
        <w:t>Root cause of the KPI pattern: not established by the meeting record.</w:t>
      </w:r>
    </w:p>
    <w:p>
      <w:pPr>
        <w:pStyle w:val="ListBullet"/>
        <w:spacing w:after="50"/>
      </w:pPr>
      <w:r>
        <w:t>Any service target beyond the existing 48-hour SLA: not stated.</w:t>
      </w:r>
    </w:p>
    <w:p>
      <w:pPr>
        <w:pStyle w:val="Heading1"/>
      </w:pPr>
      <w:r>
        <w:t>Next decision gate</w:t>
      </w:r>
    </w:p>
    <w:p>
      <w:pPr>
        <w:spacing w:before="80" w:after="140" w:line="264" w:lineRule="auto"/>
        <w:ind w:left="173" w:right="173"/>
        <w:shd w:fill="EAF3FB"/>
      </w:pPr>
      <w:r>
        <w:rPr>
          <w:b/>
          <w:color w:val="13294B"/>
        </w:rPr>
        <w:t>6 October 2026</w:t>
        <w:br/>
      </w:r>
      <w:r>
        <w:t>Leadership reviews the seven-day queue evidence, technical findings, validated cost inputs if available, and unresolved dependencies before deciding the next action.</w:t>
      </w:r>
    </w:p>
    <w:p>
      <w:pPr>
        <w:pStyle w:val="Heading1"/>
      </w:pPr>
      <w:r>
        <w:t>Source boundary</w:t>
      </w:r>
    </w:p>
    <w:p>
      <w:pPr>
        <w:spacing w:before="80" w:after="140" w:line="264" w:lineRule="auto"/>
        <w:ind w:left="173" w:right="173"/>
        <w:shd w:fill="FBECEF"/>
      </w:pPr>
      <w:r>
        <w:rPr>
          <w:b/>
          <w:color w:val="13294B"/>
        </w:rPr>
        <w:t>Do not infer beyond the record</w:t>
        <w:br/>
      </w:r>
      <w:r>
        <w:t>Unsupported causes, targets, access approvals, dates, and financial effects must not be added. Write To confirm when information is missing, and trace every presentation claim to this recap or the reviewed Asteria workbook and decision brief.</w:t>
      </w:r>
    </w:p>
    <w:sectPr w:rsidR="00FC693F" w:rsidRPr="0006063C" w:rsidSect="00034616">
      <w:headerReference w:type="default" r:id="rId9"/>
      <w:footerReference w:type="default" r:id="rId10"/>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E5966"/>
        <w:sz w:val="15"/>
      </w:rPr>
      <w:t>Fictional data • No production use • Human verification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1677C8"/>
        <w:sz w:val="15"/>
      </w:rPr>
      <w:t>ASTERIA INSURANCE  •  SYNTHETIC WORKSHOP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F2D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3294B"/>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677C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1329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Asteria Teams Meeting Recap</dc:title>
  <dc:subject>Synthetic learner material for Microsoft 365 Copilot practice</dc:subject>
  <dc:creator>Workshop Design Team</dc:creator>
  <cp:keywords>synthetic, workshop, Asteria Insurance</cp:keywords>
  <dc:description>Contains no participant or client operational data.</dc:description>
  <cp:lastModifiedBy/>
  <cp:revision>1</cp:revision>
  <dcterms:created xsi:type="dcterms:W3CDTF">2013-12-23T23:15:00Z</dcterms:created>
  <dcterms:modified xsi:type="dcterms:W3CDTF">2013-12-23T23:15:00Z</dcterms:modified>
  <cp:category/>
</cp:coreProperties>
</file>