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eastAsia="Calibri"/>
          <w:b/>
          <w:color w:val="595959"/>
          <w:sz w:val="20"/>
        </w:rPr>
        <w:t>SYNTHETIC TRAINING DATA</w:t>
      </w:r>
    </w:p>
    <w:p>
      <w:pPr>
        <w:spacing w:after="100"/>
        <w:jc w:val="center"/>
      </w:pPr>
      <w:r>
        <w:rPr>
          <w:rFonts w:ascii="Calibri" w:hAnsi="Calibri" w:eastAsia="Calibri"/>
          <w:b/>
          <w:color w:val="0B2545"/>
          <w:sz w:val="48"/>
        </w:rPr>
        <w:t>Branch Service Modernization Pilot</w:t>
      </w:r>
    </w:p>
    <w:p>
      <w:pPr>
        <w:spacing w:after="360"/>
        <w:jc w:val="center"/>
      </w:pPr>
      <w:r>
        <w:rPr>
          <w:rFonts w:ascii="Calibri" w:hAnsi="Calibri" w:eastAsia="Calibri"/>
          <w:color w:val="595959"/>
          <w:sz w:val="26"/>
        </w:rPr>
        <w:t>Executive project proposal for a controlled eight-branch pilot</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c>
          <w:tcPr>
            <w:tcW w:type="dxa" w:w="2232"/>
            <w:shd w:fill="F4F6F9"/>
            <w:vAlign w:val="center"/>
            <w:tcMar>
              <w:top w:w="80" w:type="dxa"/>
              <w:bottom w:w="80" w:type="dxa"/>
              <w:start w:w="120" w:type="dxa"/>
              <w:end w:w="120" w:type="dxa"/>
            </w:tcMar>
          </w:tcPr>
          <w:p>
            <w:r>
              <w:rPr>
                <w:rFonts w:ascii="Calibri" w:hAnsi="Calibri" w:eastAsia="Calibri"/>
                <w:b/>
                <w:color w:val="1F4D78"/>
                <w:sz w:val="20"/>
              </w:rPr>
              <w:t>Prepared for</w:t>
            </w:r>
          </w:p>
        </w:tc>
        <w:tc>
          <w:tcPr>
            <w:tcW w:type="dxa" w:w="7128"/>
            <w:vAlign w:val="center"/>
            <w:tcMar>
              <w:top w:w="80" w:type="dxa"/>
              <w:bottom w:w="80" w:type="dxa"/>
              <w:start w:w="120" w:type="dxa"/>
              <w:end w:w="120" w:type="dxa"/>
            </w:tcMar>
          </w:tcPr>
          <w:p>
            <w:r>
              <w:rPr>
                <w:rFonts w:ascii="Calibri" w:hAnsi="Calibri" w:eastAsia="Calibri"/>
                <w:b w:val="0"/>
                <w:sz w:val="20"/>
              </w:rPr>
              <w:t>Executive Steering Committee</w:t>
            </w:r>
          </w:p>
        </w:tc>
      </w:tr>
      <w:tr>
        <w:trPr/>
        <w:tc>
          <w:tcPr>
            <w:tcW w:type="dxa" w:w="2232"/>
            <w:shd w:fill="F4F6F9"/>
            <w:vAlign w:val="center"/>
            <w:tcMar>
              <w:top w:w="80" w:type="dxa"/>
              <w:bottom w:w="80" w:type="dxa"/>
              <w:start w:w="120" w:type="dxa"/>
              <w:end w:w="120" w:type="dxa"/>
            </w:tcMar>
          </w:tcPr>
          <w:p>
            <w:r>
              <w:rPr>
                <w:rFonts w:ascii="Calibri" w:hAnsi="Calibri" w:eastAsia="Calibri"/>
                <w:b/>
                <w:color w:val="1F4D78"/>
                <w:sz w:val="20"/>
              </w:rPr>
              <w:t>Business sponsor</w:t>
            </w:r>
          </w:p>
        </w:tc>
        <w:tc>
          <w:tcPr>
            <w:tcW w:type="dxa" w:w="7128"/>
            <w:vAlign w:val="center"/>
            <w:tcMar>
              <w:top w:w="80" w:type="dxa"/>
              <w:bottom w:w="80" w:type="dxa"/>
              <w:start w:w="120" w:type="dxa"/>
              <w:end w:w="120" w:type="dxa"/>
            </w:tcMar>
          </w:tcPr>
          <w:p>
            <w:r>
              <w:rPr>
                <w:rFonts w:ascii="Calibri" w:hAnsi="Calibri" w:eastAsia="Calibri"/>
                <w:b w:val="0"/>
                <w:sz w:val="20"/>
              </w:rPr>
              <w:t>Branch Experience Division</w:t>
            </w:r>
          </w:p>
        </w:tc>
      </w:tr>
      <w:tr>
        <w:trPr/>
        <w:tc>
          <w:tcPr>
            <w:tcW w:type="dxa" w:w="2232"/>
            <w:shd w:fill="F4F6F9"/>
            <w:vAlign w:val="center"/>
            <w:tcMar>
              <w:top w:w="80" w:type="dxa"/>
              <w:bottom w:w="80" w:type="dxa"/>
              <w:start w:w="120" w:type="dxa"/>
              <w:end w:w="120" w:type="dxa"/>
            </w:tcMar>
          </w:tcPr>
          <w:p>
            <w:r>
              <w:rPr>
                <w:rFonts w:ascii="Calibri" w:hAnsi="Calibri" w:eastAsia="Calibri"/>
                <w:b/>
                <w:color w:val="1F4D78"/>
                <w:sz w:val="20"/>
              </w:rPr>
              <w:t>Decision requested</w:t>
            </w:r>
          </w:p>
        </w:tc>
        <w:tc>
          <w:tcPr>
            <w:tcW w:type="dxa" w:w="7128"/>
            <w:vAlign w:val="center"/>
            <w:tcMar>
              <w:top w:w="80" w:type="dxa"/>
              <w:bottom w:w="80" w:type="dxa"/>
              <w:start w:w="120" w:type="dxa"/>
              <w:end w:w="120" w:type="dxa"/>
            </w:tcMar>
          </w:tcPr>
          <w:p>
            <w:r>
              <w:rPr>
                <w:rFonts w:ascii="Calibri" w:hAnsi="Calibri" w:eastAsia="Calibri"/>
                <w:b w:val="0"/>
                <w:sz w:val="20"/>
              </w:rPr>
              <w:t>Approve, revise, or hold the pilot</w:t>
            </w:r>
          </w:p>
        </w:tc>
      </w:tr>
      <w:tr>
        <w:trPr/>
        <w:tc>
          <w:tcPr>
            <w:tcW w:type="dxa" w:w="2232"/>
            <w:shd w:fill="F4F6F9"/>
            <w:vAlign w:val="center"/>
            <w:tcMar>
              <w:top w:w="80" w:type="dxa"/>
              <w:bottom w:w="80" w:type="dxa"/>
              <w:start w:w="120" w:type="dxa"/>
              <w:end w:w="120" w:type="dxa"/>
            </w:tcMar>
          </w:tcPr>
          <w:p>
            <w:r>
              <w:rPr>
                <w:rFonts w:ascii="Calibri" w:hAnsi="Calibri" w:eastAsia="Calibri"/>
                <w:b/>
                <w:color w:val="1F4D78"/>
                <w:sz w:val="20"/>
              </w:rPr>
              <w:t>Document status</w:t>
            </w:r>
          </w:p>
        </w:tc>
        <w:tc>
          <w:tcPr>
            <w:tcW w:type="dxa" w:w="7128"/>
            <w:vAlign w:val="center"/>
            <w:tcMar>
              <w:top w:w="80" w:type="dxa"/>
              <w:bottom w:w="80" w:type="dxa"/>
              <w:start w:w="120" w:type="dxa"/>
              <w:end w:w="120" w:type="dxa"/>
            </w:tcMar>
          </w:tcPr>
          <w:p>
            <w:r>
              <w:rPr>
                <w:rFonts w:ascii="Calibri" w:hAnsi="Calibri" w:eastAsia="Calibri"/>
                <w:b w:val="0"/>
                <w:sz w:val="20"/>
              </w:rPr>
              <w:t>Draft for management review</w:t>
            </w:r>
          </w:p>
        </w:tc>
      </w:tr>
    </w:tbl>
    <w:p/>
    <w:p>
      <w:pPr>
        <w:pStyle w:val="Heading1"/>
      </w:pPr>
      <w:r>
        <w:t>Executive Summary</w:t>
      </w:r>
    </w:p>
    <w:p>
      <w:r>
        <w:t>This proposal requests approval for an eight-branch pilot that combines digital queue management, guided document checks, and a staff dashboard. The pilot is intended to reduce avoidable waiting and repeat visits while keeping final customer and credit decisions with authorized employees.</w:t>
      </w:r>
    </w:p>
    <w:p>
      <w:r>
        <w:t>The requested budget is THB 8.4 million. The proposed delivery period is 16 weeks, followed by a 90-day measurement period.</w:t>
      </w:r>
    </w:p>
    <w:p>
      <w:r>
        <w:br w:type="page"/>
      </w:r>
    </w:p>
    <w:p>
      <w:pPr>
        <w:spacing w:after="360"/>
      </w:pPr>
    </w:p>
    <w:p>
      <w:pPr>
        <w:pStyle w:val="Heading1"/>
      </w:pPr>
      <w:r>
        <w:t>Business Need</w:t>
      </w:r>
    </w:p>
    <w:p>
      <w:r>
        <w:t>Synthetic baseline observations show an average service wait of 18 minutes, repeat visits for incomplete documents of 14%, and branch staff spending about 22% of service time re-entering information across systems. These values are workshop data and are not actual Krungsri performance figures.</w:t>
      </w:r>
    </w:p>
    <w:p>
      <w:pPr>
        <w:pStyle w:val="Heading1"/>
      </w:pPr>
      <w:r>
        <w:t>Objectives and Success Measures</w:t>
      </w:r>
    </w:p>
    <w:p>
      <w:pPr>
        <w:pStyle w:val="ListBullet"/>
      </w:pPr>
      <w:r>
        <w:t>Reduce average service wait from 18 minutes to 12 minutes or less during the pilot.</w:t>
      </w:r>
    </w:p>
    <w:p>
      <w:pPr>
        <w:pStyle w:val="ListBullet"/>
      </w:pPr>
      <w:r>
        <w:t>Reduce repeat visits caused by incomplete documents from 14% to below 9%.</w:t>
      </w:r>
    </w:p>
    <w:p>
      <w:pPr>
        <w:pStyle w:val="ListBullet"/>
      </w:pPr>
      <w:r>
        <w:t>Reach at least 60% staff adoption of the guided workflow during the 90-day measurement period.</w:t>
      </w:r>
    </w:p>
    <w:p>
      <w:pPr>
        <w:pStyle w:val="ListBullet"/>
      </w:pPr>
      <w:r>
        <w:t>Record exceptions and customer complaints for weekly human review.</w:t>
      </w:r>
    </w:p>
    <w:p>
      <w:pPr>
        <w:pStyle w:val="Heading1"/>
      </w:pPr>
      <w:r>
        <w:t>Scope</w:t>
      </w:r>
    </w:p>
    <w:p>
      <w:r>
        <w:t>The pilot covers eight branches with different traffic profiles.</w:t>
      </w:r>
    </w:p>
    <w:p>
      <w:pPr>
        <w:pStyle w:val="ListBullet"/>
      </w:pPr>
      <w:r>
        <w:t>In scope: queue check-in, document checklist guidance, staff dashboard, training, and weekly pilot reporting.</w:t>
      </w:r>
    </w:p>
    <w:p>
      <w:pPr>
        <w:pStyle w:val="ListBullet"/>
      </w:pPr>
      <w:r>
        <w:t>Out of scope: automated credit decisions, changes to core banking logic, customer profiling, and organization-wide rollout.</w:t>
      </w:r>
    </w:p>
    <w:p>
      <w:r>
        <w:br w:type="page"/>
      </w:r>
    </w:p>
    <w:p>
      <w:pPr>
        <w:spacing w:after="360"/>
      </w:pPr>
    </w:p>
    <w:p>
      <w:pPr>
        <w:pStyle w:val="Heading1"/>
      </w:pPr>
      <w:r>
        <w:t>Delivery Approach</w:t>
      </w:r>
    </w:p>
    <w:p>
      <w:r>
        <w:t>• Weeks 1-3: discovery, branch selection, data and security review.</w:t>
      </w:r>
    </w:p>
    <w:p>
      <w:r>
        <w:t>• Weeks 4-9: configuration, integration, and test-data validation.</w:t>
      </w:r>
    </w:p>
    <w:p>
      <w:r>
        <w:t>• Weeks 10-12: branch-user testing and training.</w:t>
      </w:r>
    </w:p>
    <w:p>
      <w:r>
        <w:t>• Weeks 13-16: controlled launch and stabilization.</w:t>
      </w:r>
    </w:p>
    <w:p>
      <w:r>
        <w:t>• Following 90 days: benefits review and recommendation for the next phase.</w:t>
      </w:r>
    </w:p>
    <w:p>
      <w:pPr>
        <w:pStyle w:val="Heading1"/>
      </w:pPr>
      <w:r>
        <w:t>Budget and Assumptions</w:t>
      </w:r>
    </w:p>
    <w:p>
      <w:r>
        <w:t>The THB 8.4 million estimate includes implementation services, pilot software, integration work, training, and contingency. It assumes existing branch devices can be reused and that required interfaces are available in the pilot environment.</w:t>
      </w:r>
    </w:p>
    <w:p>
      <w:r>
        <w:t>The proposal does not yet name the executive owner responsible for confirming benefit realization after the pilot.</w:t>
      </w:r>
    </w:p>
    <w:p>
      <w:r>
        <w:br w:type="page"/>
      </w:r>
    </w:p>
    <w:p>
      <w:pPr>
        <w:spacing w:after="360"/>
      </w:pPr>
    </w:p>
    <w:p>
      <w:pPr>
        <w:pStyle w:val="Heading1"/>
      </w:pPr>
      <w:r>
        <w:t>Key Risks and Dependencies</w:t>
      </w:r>
    </w:p>
    <w:p>
      <w:pPr>
        <w:pStyle w:val="ListBullet"/>
      </w:pPr>
      <w:r>
        <w:t>The data privacy impact assessment is required, but its accountable owner has not been assigned.</w:t>
      </w:r>
    </w:p>
    <w:p>
      <w:pPr>
        <w:pStyle w:val="ListBullet"/>
      </w:pPr>
      <w:r>
        <w:t>Network stability is described as adequate; no branch-by-branch baseline evidence is attached.</w:t>
      </w:r>
    </w:p>
    <w:p>
      <w:pPr>
        <w:pStyle w:val="ListBullet"/>
      </w:pPr>
      <w:r>
        <w:t>Integration depends on test interfaces being available before Week 4.</w:t>
      </w:r>
    </w:p>
    <w:p>
      <w:pPr>
        <w:pStyle w:val="ListBullet"/>
      </w:pPr>
      <w:r>
        <w:t>Staff adoption may vary by branch; local champions and weekly feedback are proposed as controls.</w:t>
      </w:r>
    </w:p>
    <w:p>
      <w:pPr>
        <w:pStyle w:val="Heading1"/>
      </w:pPr>
      <w:r>
        <w:t>Governance and Decision Request</w:t>
      </w:r>
    </w:p>
    <w:p>
      <w:r>
        <w:t>A cross-functional steering group will review scope, security, customer impact, and pilot results. Any production rollout requires a separate approval after the 90-day review.</w:t>
      </w:r>
    </w:p>
    <w:p>
      <w:r>
        <w:t>Management is asked to choose one option: approve the pilot subject to named owners and evidence; request revision of the unresolved items; or hold the proposal pending further analysis.</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95959"/>
        <w:sz w:val="17"/>
      </w:rPr>
      <w:t>Public-safe workshop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595959"/>
        <w:sz w:val="17"/>
      </w:rPr>
      <w:t>DAY 2 AGENT BUILDER | SYNTHETIC TRAINING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Synthetic training material for Microsoft 365 Copilot Agent Builder practice.</dc:description>
  <cp:lastModifiedBy/>
  <cp:revision>1</cp:revision>
  <dcterms:created xsi:type="dcterms:W3CDTF">2013-12-23T23:15:00Z</dcterms:created>
  <dcterms:modified xsi:type="dcterms:W3CDTF">2013-12-23T23:15:00Z</dcterms:modified>
  <cp:category/>
</cp:coreProperties>
</file>