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</w:pPr>
      <w:r>
        <w:rPr>
          <w:rFonts w:ascii="Arial" w:hAnsi="Arial" w:eastAsia="Arial"/>
          <w:b/>
          <w:color w:val="595959"/>
          <w:sz w:val="20"/>
        </w:rPr>
        <w:t>DECISION BRIEF</w:t>
      </w:r>
    </w:p>
    <w:p>
      <w:pPr>
        <w:spacing w:after="80"/>
      </w:pPr>
      <w:r>
        <w:rPr>
          <w:rFonts w:ascii="Arial" w:hAnsi="Arial" w:eastAsia="Arial"/>
          <w:b/>
          <w:color w:val="0B2545"/>
          <w:sz w:val="46"/>
        </w:rPr>
        <w:t>Vendor Comparison - Branch Service Modernization</w:t>
      </w:r>
    </w:p>
    <w:p>
      <w:pPr>
        <w:spacing w:after="280"/>
      </w:pPr>
      <w:r>
        <w:rPr>
          <w:rFonts w:ascii="Arial" w:hAnsi="Arial" w:eastAsia="Arial"/>
          <w:color w:val="595959"/>
          <w:sz w:val="25"/>
        </w:rPr>
        <w:t>Template for Agent-generated management review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32"/>
        <w:gridCol w:w="7128"/>
      </w:tblGrid>
      <w:tr>
        <w:trPr/>
        <w:tc>
          <w:tcPr>
            <w:tcW w:type="dxa" w:w="2232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1F4D78"/>
                <w:sz w:val="20"/>
              </w:rPr>
              <w:t>Prepared for</w:t>
            </w:r>
          </w:p>
        </w:tc>
        <w:tc>
          <w:tcPr>
            <w:tcW w:type="dxa" w:w="712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Executive Steering Committee</w:t>
            </w:r>
          </w:p>
        </w:tc>
      </w:tr>
      <w:tr>
        <w:trPr/>
        <w:tc>
          <w:tcPr>
            <w:tcW w:type="dxa" w:w="2232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1F4D78"/>
                <w:sz w:val="20"/>
              </w:rPr>
              <w:t>Decision</w:t>
            </w:r>
          </w:p>
        </w:tc>
        <w:tc>
          <w:tcPr>
            <w:tcW w:type="dxa" w:w="712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Shortlist, clarify, or hold - human approval required</w:t>
            </w:r>
          </w:p>
        </w:tc>
      </w:tr>
      <w:tr>
        <w:trPr/>
        <w:tc>
          <w:tcPr>
            <w:tcW w:type="dxa" w:w="2232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1F4D78"/>
                <w:sz w:val="20"/>
              </w:rPr>
              <w:t>Sources</w:t>
            </w:r>
          </w:p>
        </w:tc>
        <w:tc>
          <w:tcPr>
            <w:tcW w:type="dxa" w:w="712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List every vendor filename used</w:t>
            </w:r>
          </w:p>
        </w:tc>
      </w:tr>
      <w:tr>
        <w:trPr/>
        <w:tc>
          <w:tcPr>
            <w:tcW w:type="dxa" w:w="2232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1F4D78"/>
                <w:sz w:val="20"/>
              </w:rPr>
              <w:t>Status</w:t>
            </w:r>
          </w:p>
        </w:tc>
        <w:tc>
          <w:tcPr>
            <w:tcW w:type="dxa" w:w="712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Draft generated for human review</w:t>
            </w:r>
          </w:p>
        </w:tc>
      </w:tr>
    </w:tbl>
    <w:p>
      <w:pPr>
        <w:pStyle w:val="Heading1"/>
      </w:pPr>
      <w:r>
        <w:t>1. Decision Requested</w:t>
      </w:r>
    </w:p>
    <w:p>
      <w:r>
        <w:t>[State the management decision or clarification required.]</w:t>
      </w:r>
    </w:p>
    <w:p>
      <w:pPr>
        <w:pStyle w:val="Heading1"/>
      </w:pPr>
      <w:r>
        <w:t>2. Executive Summary</w:t>
      </w:r>
    </w:p>
    <w:p>
      <w:r>
        <w:t>[Summarize the strongest trade-offs without selecting a vendor automatically.]</w:t>
      </w:r>
    </w:p>
    <w:p>
      <w:r>
        <w:br w:type="page"/>
      </w:r>
    </w:p>
    <w:p>
      <w:pPr>
        <w:spacing w:after="360"/>
      </w:pPr>
    </w:p>
    <w:p>
      <w:pPr>
        <w:pStyle w:val="Heading1"/>
      </w:pPr>
      <w:r>
        <w:t>3. Comparison Matrix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44"/>
        <w:gridCol w:w="1656"/>
        <w:gridCol w:w="1656"/>
        <w:gridCol w:w="1656"/>
        <w:gridCol w:w="2448"/>
      </w:tblGrid>
      <w:tr>
        <w:trPr>
          <w:tblHeader w:val="true"/>
        </w:trPr>
        <w:tc>
          <w:tcPr>
            <w:tcW w:type="dxa" w:w="1944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1F4D78"/>
                <w:sz w:val="18"/>
              </w:rPr>
              <w:t>Criterion</w:t>
            </w:r>
          </w:p>
        </w:tc>
        <w:tc>
          <w:tcPr>
            <w:tcW w:type="dxa" w:w="1656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1F4D78"/>
                <w:sz w:val="18"/>
              </w:rPr>
              <w:t>Northstar</w:t>
            </w:r>
          </w:p>
        </w:tc>
        <w:tc>
          <w:tcPr>
            <w:tcW w:type="dxa" w:w="1656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1F4D78"/>
                <w:sz w:val="18"/>
              </w:rPr>
              <w:t>BluePeak</w:t>
            </w:r>
          </w:p>
        </w:tc>
        <w:tc>
          <w:tcPr>
            <w:tcW w:type="dxa" w:w="1656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1F4D78"/>
                <w:sz w:val="18"/>
              </w:rPr>
              <w:t>Greenline</w:t>
            </w:r>
          </w:p>
        </w:tc>
        <w:tc>
          <w:tcPr>
            <w:tcW w:type="dxa" w:w="2448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1F4D78"/>
                <w:sz w:val="18"/>
              </w:rPr>
              <w:t>Evidence / gap</w:t>
            </w:r>
          </w:p>
        </w:tc>
      </w:tr>
      <w:tr>
        <w:trPr/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Scope and fit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[Fill from source]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[Fill from source]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[Fill from source]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[Fill from source]</w:t>
            </w:r>
          </w:p>
        </w:tc>
      </w:tr>
      <w:tr>
        <w:trPr/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Delivery feasibility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[Fill from source]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[Fill from source]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[Fill from source]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[Fill from source]</w:t>
            </w:r>
          </w:p>
        </w:tc>
      </w:tr>
      <w:tr>
        <w:trPr/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Security and data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[Fill from source]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[Fill from source]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[Fill from source]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[Fill from source]</w:t>
            </w:r>
          </w:p>
        </w:tc>
      </w:tr>
      <w:tr>
        <w:trPr/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Support and SLA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[Fill from source]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[Fill from source]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[Fill from source]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[Fill from source]</w:t>
            </w:r>
          </w:p>
        </w:tc>
      </w:tr>
      <w:tr>
        <w:trPr/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Training and adoption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[Fill from source]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[Fill from source]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[Fill from source]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[Fill from source]</w:t>
            </w:r>
          </w:p>
        </w:tc>
      </w:tr>
      <w:tr>
        <w:trPr/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Commercial terms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[Fill from source]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[Fill from source]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[Fill from source]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[Fill from source]</w:t>
            </w:r>
          </w:p>
        </w:tc>
      </w:tr>
    </w:tbl>
    <w:p>
      <w:pPr>
        <w:pStyle w:val="Heading1"/>
      </w:pPr>
      <w:r>
        <w:t>4. Key Trade-offs</w:t>
      </w:r>
    </w:p>
    <w:p>
      <w:r>
        <w:t>[Explain important advantages, limitations, and dependencies.]</w:t>
      </w:r>
    </w:p>
    <w:p>
      <w:r>
        <w:br w:type="page"/>
      </w:r>
    </w:p>
    <w:p>
      <w:pPr>
        <w:spacing w:after="360"/>
      </w:pPr>
    </w:p>
    <w:p>
      <w:pPr>
        <w:pStyle w:val="Heading1"/>
      </w:pPr>
      <w:r>
        <w:t>5. Missing or Incomparable Information</w:t>
      </w:r>
    </w:p>
    <w:p>
      <w:r>
        <w:t>[List information that cannot be compared fairly.]</w:t>
      </w:r>
    </w:p>
    <w:p>
      <w:pPr>
        <w:pStyle w:val="Heading1"/>
      </w:pPr>
      <w:r>
        <w:t>6. Clarification Questions</w:t>
      </w:r>
    </w:p>
    <w:p>
      <w:r>
        <w:t>[Write concise questions for each vendor.]</w:t>
      </w:r>
    </w:p>
    <w:p>
      <w:pPr>
        <w:pStyle w:val="Heading1"/>
      </w:pPr>
      <w:r>
        <w:t>7. Decision Options</w:t>
      </w:r>
    </w:p>
    <w:p>
      <w:r>
        <w:t>[Present shortlist, clarify, or hold options with evidence.]</w:t>
      </w:r>
    </w:p>
    <w:p>
      <w:pPr>
        <w:pStyle w:val="Heading1"/>
      </w:pPr>
      <w:r>
        <w:t>8. Sources Reviewed</w:t>
      </w:r>
    </w:p>
    <w:p>
      <w:r>
        <w:t>[List the three vendor filenames.]</w:t>
      </w:r>
    </w:p>
    <w:p>
      <w:pPr>
        <w:pStyle w:val="Heading1"/>
      </w:pPr>
      <w:r>
        <w:t>Human Review Checklist</w:t>
      </w:r>
    </w:p>
    <w:p>
      <w:pPr>
        <w:pStyle w:val="ListBullet"/>
      </w:pPr>
      <w:r>
        <w:t>Every material statement is traceable to a vendor file.</w:t>
      </w:r>
    </w:p>
    <w:p>
      <w:pPr>
        <w:pStyle w:val="ListBullet"/>
      </w:pPr>
      <w:r>
        <w:t>Missing information is marked as unknown rather than guessed.</w:t>
      </w:r>
    </w:p>
    <w:p>
      <w:pPr>
        <w:pStyle w:val="ListBullet"/>
      </w:pPr>
      <w:r>
        <w:t>The same comparison criteria are applied to all vendors.</w:t>
      </w:r>
    </w:p>
    <w:p>
      <w:pPr>
        <w:pStyle w:val="ListBullet"/>
      </w:pPr>
      <w:r>
        <w:t>A responsible manager makes the final procurement decision.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color w:val="595959"/>
        <w:sz w:val="17"/>
      </w:rPr>
      <w:t>Public-safe workshop sample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 w:eastAsia="Arial"/>
        <w:b/>
        <w:color w:val="595959"/>
        <w:sz w:val="17"/>
      </w:rPr>
      <w:t>DAY 2 AGENT BUILDER | SYNTHETIC TRAINING 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80" w:lineRule="auto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80" w:lineRule="auto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Synthetic training material for Microsoft 365 Copilot Agent Builder practice.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