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 w:eastAsia="Calibri"/>
          <w:b/>
          <w:color w:val="595959"/>
          <w:sz w:val="20"/>
        </w:rPr>
        <w:t>SYNTHETIC TRAINING DATA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0B2545"/>
          <w:sz w:val="48"/>
        </w:rPr>
        <w:t>Northstar Digital Solutions</w:t>
      </w:r>
    </w:p>
    <w:p>
      <w:pPr>
        <w:spacing w:after="360"/>
        <w:jc w:val="center"/>
      </w:pPr>
      <w:r>
        <w:rPr>
          <w:rFonts w:ascii="Calibri" w:hAnsi="Calibri" w:eastAsia="Calibri"/>
          <w:color w:val="595959"/>
          <w:sz w:val="26"/>
        </w:rPr>
        <w:t>Responsive integration with a lean implementation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Client scenario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Eight-branch service modernization pilot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Commercial value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THB 6.8 million fixed implementation fee; optional adoption support excluded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Proposed duration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14 weeks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Vendor status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Fictional vendor for workshop use</w:t>
            </w:r>
          </w:p>
        </w:tc>
      </w:tr>
    </w:tbl>
    <w:p/>
    <w:p>
      <w:pPr>
        <w:pStyle w:val="Heading1"/>
      </w:pPr>
      <w:r>
        <w:t>Proposed Solution</w:t>
      </w:r>
    </w:p>
    <w:p>
      <w:r>
        <w:t>Queue check-in, document checklist, staff dashboard, four core interfaces, and two training sessions.</w:t>
      </w:r>
    </w:p>
    <w:p>
      <w:pPr>
        <w:pStyle w:val="Heading1"/>
      </w:pPr>
      <w:r>
        <w:t>Implementation Approach</w:t>
      </w:r>
    </w:p>
    <w:p>
      <w:r>
        <w:t>Single pilot release after a four-week configuration and integration test period.</w:t>
      </w:r>
    </w:p>
    <w:p>
      <w:pPr>
        <w:pStyle w:val="Heading1"/>
      </w:pPr>
      <w:r>
        <w:t>Security and Data</w:t>
      </w:r>
    </w:p>
    <w:p>
      <w:r>
        <w:t>Thailand-hosted environment, encryption in transit and at rest, and role-based access. Independent disaster-recovery test evidence is pending.</w:t>
      </w:r>
    </w:p>
    <w:p>
      <w:pPr>
        <w:pStyle w:val="Heading1"/>
      </w:pPr>
      <w:r>
        <w:t>Service and Support</w:t>
      </w:r>
    </w:p>
    <w:p>
      <w:r>
        <w:t>99.8% monthly availability target; business-hours Thai support; four-hour priority-one response target.</w:t>
      </w:r>
    </w:p>
    <w:p>
      <w:r>
        <w:br w:type="page"/>
      </w:r>
    </w:p>
    <w:p>
      <w:pPr>
        <w:spacing w:after="360"/>
      </w:pPr>
    </w:p>
    <w:p>
      <w:pPr>
        <w:pStyle w:val="Heading1"/>
      </w:pPr>
      <w:r>
        <w:t>Training and Adoption</w:t>
      </w:r>
    </w:p>
    <w:p>
      <w:r>
        <w:t>Train-the-trainer package and quick reference guide. Post-go-live adoption coaching is optional.</w:t>
      </w:r>
    </w:p>
    <w:p>
      <w:pPr>
        <w:pStyle w:val="Heading1"/>
      </w:pPr>
      <w:r>
        <w:t>Commercial Terms</w:t>
      </w:r>
    </w:p>
    <w:p>
      <w:r>
        <w:t>THB 6.8 million fixed implementation fee; optional adoption support excluded</w:t>
      </w:r>
    </w:p>
    <w:p>
      <w:pPr>
        <w:pStyle w:val="Heading1"/>
      </w:pPr>
      <w:r>
        <w:t>Key Assumptions</w:t>
      </w:r>
    </w:p>
    <w:p>
      <w:r>
        <w:t>Existing interfaces are reusable, branch devices meet browser requirements, and the client supplies test data by Week 2.</w:t>
      </w:r>
    </w:p>
    <w:p>
      <w:pPr>
        <w:pStyle w:val="Heading1"/>
      </w:pPr>
      <w:r>
        <w:t>Information Requiring Clarification</w:t>
      </w:r>
    </w:p>
    <w:p>
      <w:r>
        <w:t>No committed price for the optional adoption package and no completed disaster-recovery evidence.</w:t>
      </w:r>
    </w:p>
    <w:p>
      <w:pPr>
        <w:pStyle w:val="Heading1"/>
      </w:pPr>
      <w:r>
        <w:t>Proposal Note</w:t>
      </w:r>
    </w:p>
    <w:p>
      <w:r>
        <w:t>All names, prices, performance targets, and service descriptions in this proposal are synthetic. They are designed to support comparison practice and do not describe a real supplier offer.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5959"/>
        <w:sz w:val="17"/>
      </w:rPr>
      <w:t>Public-safe workshop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95959"/>
        <w:sz w:val="17"/>
      </w:rPr>
      <w:t>DAY 2 AGENT BUILDER | SYNTHETIC TRAINING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training material for Microsoft 365 Copilot Agent Builder practice.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