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 w:eastAsia="Calibri"/>
          <w:b/>
          <w:color w:val="595959"/>
          <w:sz w:val="20"/>
        </w:rPr>
        <w:t>SYNTHETIC TRAINING DATA</w:t>
      </w:r>
    </w:p>
    <w:p>
      <w:pPr>
        <w:spacing w:after="100"/>
        <w:jc w:val="center"/>
      </w:pPr>
      <w:r>
        <w:rPr>
          <w:rFonts w:ascii="Calibri" w:hAnsi="Calibri" w:eastAsia="Calibri"/>
          <w:b/>
          <w:color w:val="0B2545"/>
          <w:sz w:val="48"/>
        </w:rPr>
        <w:t>BluePeak Enterprise Systems</w:t>
      </w:r>
    </w:p>
    <w:p>
      <w:pPr>
        <w:spacing w:after="360"/>
        <w:jc w:val="center"/>
      </w:pPr>
      <w:r>
        <w:rPr>
          <w:rFonts w:ascii="Calibri" w:hAnsi="Calibri" w:eastAsia="Calibri"/>
          <w:color w:val="595959"/>
          <w:sz w:val="26"/>
        </w:rPr>
        <w:t>Faster delivery with broader managed services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Client scenario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Eight-branch service modernization pilot</w:t>
            </w:r>
          </w:p>
        </w:tc>
      </w:tr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Commercial value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THB 8.1 million including migration support and 90 days of managed service</w:t>
            </w:r>
          </w:p>
        </w:tc>
      </w:tr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Proposed duration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10 weeks</w:t>
            </w:r>
          </w:p>
        </w:tc>
      </w:tr>
      <w:tr>
        <w:trPr/>
        <w:tc>
          <w:tcPr>
            <w:tcW w:type="dxa" w:w="2232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1F4D78"/>
                <w:sz w:val="20"/>
              </w:rPr>
              <w:t>Vendor status</w:t>
            </w:r>
          </w:p>
        </w:tc>
        <w:tc>
          <w:tcPr>
            <w:tcW w:type="dxa" w:w="7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20"/>
              </w:rPr>
              <w:t>Fictional vendor for workshop use</w:t>
            </w:r>
          </w:p>
        </w:tc>
      </w:tr>
    </w:tbl>
    <w:p/>
    <w:p>
      <w:pPr>
        <w:pStyle w:val="Heading1"/>
      </w:pPr>
      <w:r>
        <w:t>Proposed Solution</w:t>
      </w:r>
    </w:p>
    <w:p>
      <w:r>
        <w:t>Queue check-in, document checklist, staff dashboard, six interfaces, migration support, and remote training.</w:t>
      </w:r>
    </w:p>
    <w:p>
      <w:pPr>
        <w:pStyle w:val="Heading1"/>
      </w:pPr>
      <w:r>
        <w:t>Implementation Approach</w:t>
      </w:r>
    </w:p>
    <w:p>
      <w:r>
        <w:t>Two-week discovery followed by three short delivery waves and parallel testing.</w:t>
      </w:r>
    </w:p>
    <w:p>
      <w:pPr>
        <w:pStyle w:val="Heading1"/>
      </w:pPr>
      <w:r>
        <w:t>Security and Data</w:t>
      </w:r>
    </w:p>
    <w:p>
      <w:r>
        <w:t>Thailand-hosted environment, annual penetration testing, documented access review, and quarterly recovery tests.</w:t>
      </w:r>
    </w:p>
    <w:p>
      <w:pPr>
        <w:pStyle w:val="Heading1"/>
      </w:pPr>
      <w:r>
        <w:t>Service and Support</w:t>
      </w:r>
    </w:p>
    <w:p>
      <w:r>
        <w:t>99.9% monthly availability target; 24x7 priority-one intake; Thai specialists available during business hours.</w:t>
      </w:r>
    </w:p>
    <w:p>
      <w:r>
        <w:br w:type="page"/>
      </w:r>
    </w:p>
    <w:p>
      <w:pPr>
        <w:spacing w:after="360"/>
      </w:pPr>
    </w:p>
    <w:p>
      <w:pPr>
        <w:pStyle w:val="Heading1"/>
      </w:pPr>
      <w:r>
        <w:t>Training and Adoption</w:t>
      </w:r>
    </w:p>
    <w:p>
      <w:r>
        <w:t>Two remote instructor-led sessions and recorded learning. On-site branch coaching is not included.</w:t>
      </w:r>
    </w:p>
    <w:p>
      <w:pPr>
        <w:pStyle w:val="Heading1"/>
      </w:pPr>
      <w:r>
        <w:t>Commercial Terms</w:t>
      </w:r>
    </w:p>
    <w:p>
      <w:r>
        <w:t>THB 8.1 million including migration support and 90 days of managed service</w:t>
      </w:r>
    </w:p>
    <w:p>
      <w:pPr>
        <w:pStyle w:val="Heading1"/>
      </w:pPr>
      <w:r>
        <w:t>Key Assumptions</w:t>
      </w:r>
    </w:p>
    <w:p>
      <w:r>
        <w:t>Client product owners are available daily and approve each delivery wave within two business days.</w:t>
      </w:r>
    </w:p>
    <w:p>
      <w:pPr>
        <w:pStyle w:val="Heading1"/>
      </w:pPr>
      <w:r>
        <w:t>Information Requiring Clarification</w:t>
      </w:r>
    </w:p>
    <w:p>
      <w:r>
        <w:t>The proposal does not explain how remote-only training will support branches with lower digital confidence.</w:t>
      </w:r>
    </w:p>
    <w:p>
      <w:pPr>
        <w:pStyle w:val="Heading1"/>
      </w:pPr>
      <w:r>
        <w:t>Proposal Note</w:t>
      </w:r>
    </w:p>
    <w:p>
      <w:r>
        <w:t>All names, prices, performance targets, and service descriptions in this proposal are synthetic. They are designed to support comparison practice and do not describe a real supplier offer.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5959"/>
        <w:sz w:val="17"/>
      </w:rPr>
      <w:t>Public-safe workshop sample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595959"/>
        <w:sz w:val="17"/>
      </w:rPr>
      <w:t>DAY 2 AGENT BUILDER | SYNTHETIC TRAINING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Synthetic training material for Microsoft 365 Copilot Agent Builder practice.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