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Calibri" w:hAnsi="Calibri" w:eastAsia="Calibri"/>
          <w:b/>
          <w:color w:val="595959"/>
          <w:sz w:val="20"/>
        </w:rPr>
        <w:t>SYNTHETIC TRAINING DATA</w:t>
      </w:r>
    </w:p>
    <w:p>
      <w:pPr>
        <w:spacing w:after="100"/>
        <w:jc w:val="center"/>
      </w:pPr>
      <w:r>
        <w:rPr>
          <w:rFonts w:ascii="Calibri" w:hAnsi="Calibri" w:eastAsia="Calibri"/>
          <w:b/>
          <w:color w:val="0B2545"/>
          <w:sz w:val="48"/>
        </w:rPr>
        <w:t>Greenline Service Design</w:t>
      </w:r>
    </w:p>
    <w:p>
      <w:pPr>
        <w:spacing w:after="360"/>
        <w:jc w:val="center"/>
      </w:pPr>
      <w:r>
        <w:rPr>
          <w:rFonts w:ascii="Calibri" w:hAnsi="Calibri" w:eastAsia="Calibri"/>
          <w:color w:val="595959"/>
          <w:sz w:val="26"/>
        </w:rPr>
        <w:t>Phased rollout with strong branch adoption support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7128"/>
      </w:tblGrid>
      <w:tr>
        <w:trPr/>
        <w:tc>
          <w:tcPr>
            <w:tcW w:type="dxa" w:w="2232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20"/>
              </w:rPr>
              <w:t>Client scenario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20"/>
              </w:rPr>
              <w:t>Eight-branch service modernization pilot</w:t>
            </w:r>
          </w:p>
        </w:tc>
      </w:tr>
      <w:tr>
        <w:trPr/>
        <w:tc>
          <w:tcPr>
            <w:tcW w:type="dxa" w:w="2232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20"/>
              </w:rPr>
              <w:t>Commercial value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20"/>
              </w:rPr>
              <w:t>THB 7.4 million plus an optional THB 0.9 million analytics module</w:t>
            </w:r>
          </w:p>
        </w:tc>
      </w:tr>
      <w:tr>
        <w:trPr/>
        <w:tc>
          <w:tcPr>
            <w:tcW w:type="dxa" w:w="2232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20"/>
              </w:rPr>
              <w:t>Proposed duration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20"/>
              </w:rPr>
              <w:t>18 weeks</w:t>
            </w:r>
          </w:p>
        </w:tc>
      </w:tr>
      <w:tr>
        <w:trPr/>
        <w:tc>
          <w:tcPr>
            <w:tcW w:type="dxa" w:w="2232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20"/>
              </w:rPr>
              <w:t>Vendor status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20"/>
              </w:rPr>
              <w:t>Fictional vendor for workshop use</w:t>
            </w:r>
          </w:p>
        </w:tc>
      </w:tr>
    </w:tbl>
    <w:p/>
    <w:p>
      <w:pPr>
        <w:pStyle w:val="Heading1"/>
      </w:pPr>
      <w:r>
        <w:t>Proposed Solution</w:t>
      </w:r>
    </w:p>
    <w:p>
      <w:r>
        <w:t>Queue check-in, document checklist, staff dashboard, three confirmed interfaces, and on-site coaching at all pilot branches.</w:t>
      </w:r>
    </w:p>
    <w:p>
      <w:pPr>
        <w:pStyle w:val="Heading1"/>
      </w:pPr>
      <w:r>
        <w:t>Implementation Approach</w:t>
      </w:r>
    </w:p>
    <w:p>
      <w:r>
        <w:t>Two pilot waves with a decision gate between Wave 1 and Wave 2; designed for lower-bandwidth branches.</w:t>
      </w:r>
    </w:p>
    <w:p>
      <w:pPr>
        <w:pStyle w:val="Heading1"/>
      </w:pPr>
      <w:r>
        <w:t>Security and Data</w:t>
      </w:r>
    </w:p>
    <w:p>
      <w:r>
        <w:t>Thailand-hosted environment, role-based access, audit logs, and recovery exercises twice a year.</w:t>
      </w:r>
    </w:p>
    <w:p>
      <w:pPr>
        <w:pStyle w:val="Heading1"/>
      </w:pPr>
      <w:r>
        <w:t>Service and Support</w:t>
      </w:r>
    </w:p>
    <w:p>
      <w:r>
        <w:t>99.7% monthly availability target; Thai business-hours support; named customer success lead for six months.</w:t>
      </w:r>
    </w:p>
    <w:p>
      <w:r>
        <w:br w:type="page"/>
      </w:r>
    </w:p>
    <w:p>
      <w:pPr>
        <w:spacing w:after="360"/>
      </w:pPr>
    </w:p>
    <w:p>
      <w:pPr>
        <w:pStyle w:val="Heading1"/>
      </w:pPr>
      <w:r>
        <w:t>Training and Adoption</w:t>
      </w:r>
    </w:p>
    <w:p>
      <w:r>
        <w:t>On-site coaching, champion community setup, and weekly adoption review are included.</w:t>
      </w:r>
    </w:p>
    <w:p>
      <w:pPr>
        <w:pStyle w:val="Heading1"/>
      </w:pPr>
      <w:r>
        <w:t>Commercial Terms</w:t>
      </w:r>
    </w:p>
    <w:p>
      <w:r>
        <w:t>THB 7.4 million plus an optional THB 0.9 million analytics module</w:t>
      </w:r>
    </w:p>
    <w:p>
      <w:pPr>
        <w:pStyle w:val="Heading1"/>
      </w:pPr>
      <w:r>
        <w:t>Key Assumptions</w:t>
      </w:r>
    </w:p>
    <w:p>
      <w:r>
        <w:t>Only three required interfaces are available in the standard package; other interfaces require technical discovery.</w:t>
      </w:r>
    </w:p>
    <w:p>
      <w:pPr>
        <w:pStyle w:val="Heading1"/>
      </w:pPr>
      <w:r>
        <w:t>Information Requiring Clarification</w:t>
      </w:r>
    </w:p>
    <w:p>
      <w:r>
        <w:t>Compatibility evidence for the remaining interfaces is not supplied, and analytics benefits depend on the optional module.</w:t>
      </w:r>
    </w:p>
    <w:p>
      <w:pPr>
        <w:pStyle w:val="Heading1"/>
      </w:pPr>
      <w:r>
        <w:t>Proposal Note</w:t>
      </w:r>
    </w:p>
    <w:p>
      <w:r>
        <w:t>All names, prices, performance targets, and service descriptions in this proposal are synthetic. They are designed to support comparison practice and do not describe a real supplier offer.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95959"/>
        <w:sz w:val="17"/>
      </w:rPr>
      <w:t>Public-safe workshop sample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b/>
        <w:color w:val="595959"/>
        <w:sz w:val="17"/>
      </w:rPr>
      <w:t>DAY 2 AGENT BUILDER | SYNTHETIC TRAINING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Synthetic training material for Microsoft 365 Copilot Agent Builder practice.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