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8"/>
        </w:rPr>
        <w:t>Service Incident Timeline</w:t>
      </w:r>
    </w:p>
    <w:p>
      <w:pPr>
        <w:spacing w:after="280"/>
      </w:pPr>
      <w:r>
        <w:rPr>
          <w:rFonts w:ascii="Calibri" w:hAnsi="Calibri"/>
          <w:color w:val="667085"/>
          <w:sz w:val="22"/>
        </w:rPr>
        <w:t>Customer Digital Platform | Executive evidence pack | 25 June 2026, 10:00 ICT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1"/>
              </w:rPr>
              <w:t>Incident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Customer Digital Platform – SEV-2 service degradation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1"/>
              </w:rPr>
              <w:t>Scenario status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AMBER – partially recovered; root cause remains unconfirmed</w:t>
            </w:r>
          </w:p>
        </w:tc>
      </w:tr>
    </w:tbl>
    <w:p/>
    <w:p>
      <w:pPr>
        <w:pStyle w:val="Heading1"/>
      </w:pPr>
      <w:r>
        <w:t>Confirmed incident timeline</w:t>
      </w:r>
    </w:p>
    <w:p>
      <w:r>
        <w:rPr>
          <w:b/>
        </w:rPr>
        <w:t xml:space="preserve">Scope: </w:t>
      </w:r>
      <w:r>
        <w:t>The customer web portal, mobile app sign-in, and checkout journey share the affected identity and API gateway path.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780"/>
        <w:gridCol w:w="2100"/>
        <w:gridCol w:w="2580"/>
      </w:tblGrid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1"/>
              </w:rPr>
              <w:t>Time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1"/>
              </w:rPr>
              <w:t>Confirmed observation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1"/>
              </w:rPr>
              <w:t>Owner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1"/>
              </w:rPr>
              <w:t>Business effect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08:10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Gateway monitoring detected sustained latency above the 1.2-second target.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Narin Kittipong</w:t>
              <w:br/>
              <w:t>Incident Commander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No confirmed customer impact yet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08:18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Authentication and checkout error rate reached 6.8%.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Kanya Rattan</w:t>
              <w:br/>
              <w:t>Platform Engineering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Sign-in and checkout retries increased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08:28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SEV-2 incident declared; recovery bridge opened.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Narin Kittipong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Executive escalation threshold reached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08:40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Customer Operations recorded elevated contact volume across web and mobile support queues.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Mira Chanan</w:t>
              <w:br/>
              <w:t>Customer Operations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Customers report failed sign-in and payment attempts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08:55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A connection-pool configuration change is a working hypothesis only; root cause is not confirmed.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Kanya Rattan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No external cause statement is approved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09:12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Rollback completed. Error rate fell to 1.9%; latency remained above target.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Platform Engineering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Service is usable but still degraded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10:00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Current status: AMBER. Monitoring, vendor confirmation, and customer communication decision remain open.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Incident Command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Executive decision is needed before external communication</w:t>
            </w:r>
          </w:p>
        </w:tc>
      </w:tr>
    </w:tbl>
    <w:p>
      <w:r>
        <w:br w:type="page"/>
      </w:r>
    </w:p>
    <w:p>
      <w:pPr>
        <w:pStyle w:val="Heading1"/>
      </w:pPr>
      <w:r>
        <w:t>Decisions required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00"/>
        <w:gridCol w:w="2100"/>
        <w:gridCol w:w="2460"/>
      </w:tblGrid>
      <w:t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1"/>
              </w:rPr>
              <w:t>Decision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1"/>
              </w:rPr>
              <w:t>Recommended owner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1"/>
              </w:rPr>
              <w:t>Decision deadline</w:t>
            </w:r>
          </w:p>
        </w:tc>
      </w:tr>
      <w:t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Approve the customer advisory wording if the service remains AMBER at 10:20.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Mira Chanan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10:20 ICT</w:t>
            </w:r>
          </w:p>
        </w:tc>
      </w:tr>
      <w:t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Authorize the identity-platform vendor escalation and named technical bridge.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Narin Kittipong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10:30 ICT</w:t>
            </w:r>
          </w:p>
        </w:tc>
      </w:tr>
      <w:t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Confirm whether the recovery team may defer noncritical releases until stability is restored.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Lina Sutham</w:t>
              <w:br/>
              <w:t>Executive Sponsor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1"/>
              </w:rPr>
              <w:t>10:30 ICT</w:t>
            </w:r>
          </w:p>
        </w:tc>
      </w:tr>
    </w:tbl>
    <w:p>
      <w:pPr>
        <w:pStyle w:val="Heading1"/>
      </w:pPr>
      <w:r>
        <w:t>Evidence and communication guardrails</w:t>
      </w:r>
    </w:p>
    <w:p>
      <w:pPr>
        <w:ind w:left="288"/>
      </w:pPr>
      <w:r>
        <w:rPr>
          <w:b/>
          <w:color w:val="0B2545"/>
        </w:rPr>
        <w:t xml:space="preserve">Confirmed: </w:t>
      </w:r>
      <w:r>
        <w:t>Use the incident timeline and service dashboard for verified service status and customer-impact metrics.</w:t>
      </w:r>
    </w:p>
    <w:p>
      <w:pPr>
        <w:ind w:left="288"/>
      </w:pPr>
      <w:r>
        <w:rPr>
          <w:b/>
          <w:color w:val="0B2545"/>
        </w:rPr>
        <w:t xml:space="preserve">Working hypothesis: </w:t>
      </w:r>
      <w:r>
        <w:t>The configuration change is not an approved root-cause statement and must not be presented as fact.</w:t>
      </w:r>
    </w:p>
    <w:p>
      <w:pPr>
        <w:ind w:left="288"/>
      </w:pPr>
      <w:r>
        <w:rPr>
          <w:b/>
          <w:color w:val="9B1C1C"/>
        </w:rPr>
        <w:t xml:space="preserve">Unknown: </w:t>
      </w:r>
      <w:r>
        <w:t>The final root cause, vendor contribution, duration to full recovery, and customer compensation decision are not yet known.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6"/>
      </w:rPr>
      <w:t>Fictional training scenario | As of 25 June 2026, 10:00 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