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3870" w:rsidRDefault="00590DC3">
      <w:pPr>
        <w:spacing w:after="0" w:line="259" w:lineRule="auto"/>
        <w:ind w:left="0" w:firstLine="0"/>
      </w:pPr>
      <w:r>
        <w:rPr>
          <w:b/>
          <w:sz w:val="40"/>
        </w:rPr>
        <w:t>Credit Risk Classification System</w:t>
      </w:r>
    </w:p>
    <w:p w:rsidR="00B43870" w:rsidRDefault="00590DC3">
      <w:pPr>
        <w:spacing w:after="178" w:line="259" w:lineRule="auto"/>
        <w:ind w:left="0" w:firstLine="0"/>
      </w:pPr>
      <w:r>
        <w:rPr>
          <w:color w:val="444444"/>
          <w:sz w:val="28"/>
        </w:rPr>
        <w:t xml:space="preserve">Technical Report for </w:t>
      </w:r>
      <w:proofErr w:type="spellStart"/>
      <w:r>
        <w:rPr>
          <w:color w:val="444444"/>
          <w:sz w:val="28"/>
        </w:rPr>
        <w:t>FinTech</w:t>
      </w:r>
      <w:proofErr w:type="spellEnd"/>
      <w:r>
        <w:rPr>
          <w:color w:val="444444"/>
          <w:sz w:val="28"/>
        </w:rPr>
        <w:t xml:space="preserve"> Solutions Inc.</w:t>
      </w:r>
    </w:p>
    <w:p w:rsidR="00B43870" w:rsidRDefault="00590DC3">
      <w:pPr>
        <w:spacing w:after="87" w:line="259" w:lineRule="auto"/>
        <w:ind w:left="0" w:firstLine="0"/>
      </w:pPr>
      <w:r>
        <w:rPr>
          <w:b/>
        </w:rPr>
        <w:t>Prepared by: Teerth Gangwar</w:t>
      </w:r>
    </w:p>
    <w:p w:rsidR="00B43870" w:rsidRDefault="00590DC3">
      <w:pPr>
        <w:spacing w:after="112"/>
      </w:pPr>
      <w:r>
        <w:t>Trimester 2 End-of-Term Project: Machine Learning Pipeline Development and Deployment</w:t>
      </w:r>
    </w:p>
    <w:p w:rsidR="00B43870" w:rsidRDefault="00590DC3">
      <w:pPr>
        <w:spacing w:after="757"/>
      </w:pPr>
      <w:r>
        <w:t>Dataset: German Credit Risk Dataset (1,000 applications)</w:t>
      </w:r>
    </w:p>
    <w:p w:rsidR="00B43870" w:rsidRDefault="00590DC3">
      <w:pPr>
        <w:pStyle w:val="Heading1"/>
        <w:spacing w:after="0"/>
        <w:ind w:left="340" w:hanging="355"/>
      </w:pPr>
      <w:r>
        <w:t>Executive Summary</w:t>
      </w:r>
    </w:p>
    <w:p w:rsidR="00B43870" w:rsidRDefault="00590DC3">
      <w:pPr>
        <w:spacing w:after="118"/>
      </w:pPr>
      <w:proofErr w:type="spellStart"/>
      <w:r>
        <w:t>FinTech</w:t>
      </w:r>
      <w:proofErr w:type="spellEnd"/>
      <w:r>
        <w:t xml:space="preserve"> Solutions Inc. currently assesses loan applications manually, a process that takes three to five days per application and produces inconsistent decisions across loan officers. This project delivers an automated credit risk classif</w:t>
      </w:r>
      <w:r>
        <w:t>ication system that predicts whether a loan applicant is likely to default, using the German Credit dataset: 1,000 historical applications across 10 features.</w:t>
      </w:r>
    </w:p>
    <w:p w:rsidR="00B43870" w:rsidRDefault="00590DC3">
      <w:pPr>
        <w:spacing w:after="118"/>
      </w:pPr>
      <w:r>
        <w:t>Four classification models were built and compared: Logistic Regression, Decision Tree, Random Fo</w:t>
      </w:r>
      <w:r>
        <w:t xml:space="preserve">rest, and </w:t>
      </w:r>
      <w:proofErr w:type="spellStart"/>
      <w:r>
        <w:t>XGBoost</w:t>
      </w:r>
      <w:proofErr w:type="spellEnd"/>
      <w:r>
        <w:t xml:space="preserve">. Random Forest and </w:t>
      </w:r>
      <w:proofErr w:type="spellStart"/>
      <w:r>
        <w:t>XGBoost</w:t>
      </w:r>
      <w:proofErr w:type="spellEnd"/>
      <w:r>
        <w:t xml:space="preserve"> were additionally tuned using 5-fold cross-validated grid search. All six resulting runs, four baseline models plus two tuned variants, were tracked with </w:t>
      </w:r>
      <w:proofErr w:type="spellStart"/>
      <w:r>
        <w:t>MLflow</w:t>
      </w:r>
      <w:proofErr w:type="spellEnd"/>
      <w:r>
        <w:t>, including parameters, metrics, and confusion matr</w:t>
      </w:r>
      <w:r>
        <w:t xml:space="preserve">ix </w:t>
      </w:r>
      <w:proofErr w:type="spellStart"/>
      <w:r>
        <w:t>artifacts</w:t>
      </w:r>
      <w:proofErr w:type="spellEnd"/>
      <w:r>
        <w:t>.</w:t>
      </w:r>
    </w:p>
    <w:p w:rsidR="00B43870" w:rsidRDefault="00590DC3">
      <w:pPr>
        <w:spacing w:after="118"/>
      </w:pPr>
      <w:proofErr w:type="spellStart"/>
      <w:r>
        <w:t>XGBoost</w:t>
      </w:r>
      <w:proofErr w:type="spellEnd"/>
      <w:r>
        <w:t xml:space="preserve"> (tuned) comes out ahead on every metric measured: accuracy (0.875), recall (0.823), F1 (0.839), and AUC-ROC (0.953). At a decision threshold of 0.45, chosen deliberately over both the default 0.50 </w:t>
      </w:r>
      <w:proofErr w:type="spellStart"/>
      <w:r>
        <w:t>cutoff</w:t>
      </w:r>
      <w:proofErr w:type="spellEnd"/>
      <w:r>
        <w:t xml:space="preserve"> and a threshold that simply ma</w:t>
      </w:r>
      <w:r>
        <w:t>ximizes precision, it delivers 84.8% recall on defaults at 85.9% precision, comfortably clearing the business's 75% recall requirement. Random Forest tells a different story. Despite posting the highest precision of any model tested (0.902), both its basel</w:t>
      </w:r>
      <w:r>
        <w:t>ine and tuned versions fall short of the 75% recall requirement (70.9% and 69.6% respectively), which rules it out for production regardless of its other strengths.</w:t>
      </w:r>
    </w:p>
    <w:p w:rsidR="00B43870" w:rsidRDefault="00590DC3">
      <w:r>
        <w:rPr>
          <w:b/>
        </w:rPr>
        <w:t xml:space="preserve">Recommendation: </w:t>
      </w:r>
      <w:r>
        <w:t xml:space="preserve">deploy </w:t>
      </w:r>
      <w:proofErr w:type="spellStart"/>
      <w:r>
        <w:t>XGBoost</w:t>
      </w:r>
      <w:proofErr w:type="spellEnd"/>
      <w:r>
        <w:t xml:space="preserve"> (tuned) at a 0.45 classification threshold, with the monitor</w:t>
      </w:r>
      <w:r>
        <w:t>ing and retraining plan described in Section 6.</w:t>
      </w:r>
    </w:p>
    <w:p w:rsidR="00B43870" w:rsidRDefault="00590DC3">
      <w:pPr>
        <w:pStyle w:val="Heading1"/>
        <w:ind w:left="340" w:hanging="355"/>
      </w:pPr>
      <w:r>
        <w:t>Data Analysis</w:t>
      </w:r>
    </w:p>
    <w:p w:rsidR="00B43870" w:rsidRDefault="00590DC3">
      <w:pPr>
        <w:pStyle w:val="Heading2"/>
        <w:ind w:left="418" w:hanging="433"/>
      </w:pPr>
      <w:r>
        <w:t>Data Quality</w:t>
      </w:r>
    </w:p>
    <w:p w:rsidR="00B43870" w:rsidRDefault="00590DC3">
      <w:pPr>
        <w:spacing w:after="118"/>
      </w:pPr>
      <w:r>
        <w:t>The dataset contains 1,000 applications across 10 original features, with no duplicate rows. Two columns carry missing values as flagged in the project brief: Saving accounts (85 mi</w:t>
      </w:r>
      <w:r>
        <w:t xml:space="preserve">ssing, 8.5%) and Checking account (95 missing, 9.5%). Both were treated as informative-missing rather than random noise, since </w:t>
      </w:r>
      <w:proofErr w:type="spellStart"/>
      <w:r>
        <w:t>missingness</w:t>
      </w:r>
      <w:proofErr w:type="spellEnd"/>
      <w:r>
        <w:t xml:space="preserve"> itself can correlate with risk, and were imputed with an explicit "unknown" category rather than a guessed value or r</w:t>
      </w:r>
      <w:r>
        <w:t>ow deletion.</w:t>
      </w:r>
    </w:p>
    <w:p w:rsidR="00B43870" w:rsidRDefault="00590DC3">
      <w:pPr>
        <w:spacing w:after="25"/>
      </w:pPr>
      <w:r>
        <w:t>The target variable is moderately imbalanced: 60.4% "good" risk versus 39.6% "bad" risk.</w:t>
      </w:r>
    </w:p>
    <w:p w:rsidR="00B43870" w:rsidRDefault="00590DC3">
      <w:pPr>
        <w:spacing w:after="70" w:line="259" w:lineRule="auto"/>
        <w:ind w:left="2563" w:firstLine="0"/>
      </w:pPr>
      <w:r>
        <w:rPr>
          <w:noProof/>
        </w:rPr>
        <w:drawing>
          <wp:inline distT="0" distB="0" distL="0" distR="0">
            <wp:extent cx="3143250" cy="2286000"/>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
                    <a:stretch>
                      <a:fillRect/>
                    </a:stretch>
                  </pic:blipFill>
                  <pic:spPr>
                    <a:xfrm>
                      <a:off x="0" y="0"/>
                      <a:ext cx="3143250" cy="2286000"/>
                    </a:xfrm>
                    <a:prstGeom prst="rect">
                      <a:avLst/>
                    </a:prstGeom>
                  </pic:spPr>
                </pic:pic>
              </a:graphicData>
            </a:graphic>
          </wp:inline>
        </w:drawing>
      </w:r>
    </w:p>
    <w:p w:rsidR="00B43870" w:rsidRDefault="00590DC3">
      <w:pPr>
        <w:spacing w:after="264" w:line="259" w:lineRule="auto"/>
        <w:ind w:right="9"/>
        <w:jc w:val="center"/>
      </w:pPr>
      <w:r>
        <w:rPr>
          <w:i/>
          <w:color w:val="555555"/>
        </w:rPr>
        <w:t>Figure 1. Target distribution: Risk (good vs. bad).</w:t>
      </w:r>
    </w:p>
    <w:p w:rsidR="00B43870" w:rsidRDefault="00590DC3">
      <w:pPr>
        <w:pStyle w:val="Heading2"/>
        <w:ind w:left="418" w:hanging="433"/>
      </w:pPr>
      <w:r>
        <w:lastRenderedPageBreak/>
        <w:t>Exploratory Data Analysis: Key Insights</w:t>
      </w:r>
    </w:p>
    <w:p w:rsidR="00B43870" w:rsidRDefault="00590DC3">
      <w:pPr>
        <w:spacing w:after="0"/>
      </w:pPr>
      <w:r>
        <w:t>Distributions of Age, Credit amount, and Duration are all close to uniform rather than the right-skewed shape often seen in lending data, so no log transform was needed for these features.</w:t>
      </w:r>
    </w:p>
    <w:p w:rsidR="00B43870" w:rsidRDefault="00590DC3">
      <w:pPr>
        <w:spacing w:after="70" w:line="259" w:lineRule="auto"/>
        <w:ind w:left="1438" w:firstLine="0"/>
      </w:pPr>
      <w:r>
        <w:rPr>
          <w:noProof/>
        </w:rPr>
        <w:drawing>
          <wp:inline distT="0" distB="0" distL="0" distR="0">
            <wp:extent cx="4572000" cy="1466850"/>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8"/>
                    <a:stretch>
                      <a:fillRect/>
                    </a:stretch>
                  </pic:blipFill>
                  <pic:spPr>
                    <a:xfrm>
                      <a:off x="0" y="0"/>
                      <a:ext cx="4572000" cy="1466850"/>
                    </a:xfrm>
                    <a:prstGeom prst="rect">
                      <a:avLst/>
                    </a:prstGeom>
                  </pic:spPr>
                </pic:pic>
              </a:graphicData>
            </a:graphic>
          </wp:inline>
        </w:drawing>
      </w:r>
    </w:p>
    <w:p w:rsidR="00B43870" w:rsidRDefault="00590DC3">
      <w:pPr>
        <w:spacing w:after="207" w:line="259" w:lineRule="auto"/>
        <w:ind w:right="11"/>
        <w:jc w:val="center"/>
      </w:pPr>
      <w:r>
        <w:rPr>
          <w:i/>
          <w:color w:val="555555"/>
        </w:rPr>
        <w:t>Figure 2. Distributions of Age, Credit amount, and Duration.</w:t>
      </w:r>
    </w:p>
    <w:p w:rsidR="00B43870" w:rsidRDefault="00590DC3">
      <w:pPr>
        <w:spacing w:after="0"/>
      </w:pPr>
      <w:r>
        <w:t>Boxp</w:t>
      </w:r>
      <w:r>
        <w:t>lots by risk category show the clearest separation on Credit amount and Duration: bad-risk applicants skew toward larger, longer loans. Age shows little separation on its own.</w:t>
      </w:r>
    </w:p>
    <w:p w:rsidR="00B43870" w:rsidRDefault="00590DC3">
      <w:pPr>
        <w:spacing w:after="70" w:line="259" w:lineRule="auto"/>
        <w:ind w:left="1438" w:firstLine="0"/>
      </w:pPr>
      <w:r>
        <w:rPr>
          <w:noProof/>
        </w:rPr>
        <w:drawing>
          <wp:inline distT="0" distB="0" distL="0" distR="0">
            <wp:extent cx="4572000" cy="1400175"/>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9"/>
                    <a:stretch>
                      <a:fillRect/>
                    </a:stretch>
                  </pic:blipFill>
                  <pic:spPr>
                    <a:xfrm>
                      <a:off x="0" y="0"/>
                      <a:ext cx="4572000" cy="1400175"/>
                    </a:xfrm>
                    <a:prstGeom prst="rect">
                      <a:avLst/>
                    </a:prstGeom>
                  </pic:spPr>
                </pic:pic>
              </a:graphicData>
            </a:graphic>
          </wp:inline>
        </w:drawing>
      </w:r>
    </w:p>
    <w:p w:rsidR="00B43870" w:rsidRDefault="00590DC3">
      <w:pPr>
        <w:spacing w:after="207" w:line="259" w:lineRule="auto"/>
        <w:ind w:right="10"/>
        <w:jc w:val="center"/>
      </w:pPr>
      <w:r>
        <w:rPr>
          <w:i/>
          <w:color w:val="555555"/>
        </w:rPr>
        <w:t>Figure 3. Age, Credit amount, and Duration by risk category.</w:t>
      </w:r>
    </w:p>
    <w:p w:rsidR="00B43870" w:rsidRDefault="00590DC3">
      <w:pPr>
        <w:spacing w:after="0"/>
      </w:pPr>
      <w:r>
        <w:t xml:space="preserve">The correlation </w:t>
      </w:r>
      <w:proofErr w:type="spellStart"/>
      <w:r>
        <w:t>h</w:t>
      </w:r>
      <w:r>
        <w:t>eatmap</w:t>
      </w:r>
      <w:proofErr w:type="spellEnd"/>
      <w:r>
        <w:t xml:space="preserve"> among numeric features (Age, Job, Credit amount, Duration) shows negligible pairwise correlation across the board, with all values between -0.08 and 0.01. That is unusual for credit data, where Credit amount and Duration typically show a moderate po</w:t>
      </w:r>
      <w:r>
        <w:t>sitive relationship. It means the engineered ratio features in Section 2.3 combine largely independent signals rather than capturing a strong existing relationship.</w:t>
      </w:r>
    </w:p>
    <w:p w:rsidR="00B43870" w:rsidRDefault="00590DC3">
      <w:pPr>
        <w:spacing w:after="70" w:line="259" w:lineRule="auto"/>
        <w:ind w:left="2638" w:firstLine="0"/>
      </w:pPr>
      <w:r>
        <w:rPr>
          <w:noProof/>
        </w:rPr>
        <w:drawing>
          <wp:inline distT="0" distB="0" distL="0" distR="0">
            <wp:extent cx="3048000" cy="2571750"/>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10"/>
                    <a:stretch>
                      <a:fillRect/>
                    </a:stretch>
                  </pic:blipFill>
                  <pic:spPr>
                    <a:xfrm>
                      <a:off x="0" y="0"/>
                      <a:ext cx="3048000" cy="2571750"/>
                    </a:xfrm>
                    <a:prstGeom prst="rect">
                      <a:avLst/>
                    </a:prstGeom>
                  </pic:spPr>
                </pic:pic>
              </a:graphicData>
            </a:graphic>
          </wp:inline>
        </w:drawing>
      </w:r>
    </w:p>
    <w:p w:rsidR="00B43870" w:rsidRDefault="00590DC3">
      <w:pPr>
        <w:spacing w:after="207" w:line="259" w:lineRule="auto"/>
        <w:ind w:right="10"/>
        <w:jc w:val="center"/>
      </w:pPr>
      <w:r>
        <w:rPr>
          <w:i/>
          <w:color w:val="555555"/>
        </w:rPr>
        <w:t xml:space="preserve">Figure 4. Correlation </w:t>
      </w:r>
      <w:proofErr w:type="spellStart"/>
      <w:r>
        <w:rPr>
          <w:i/>
          <w:color w:val="555555"/>
        </w:rPr>
        <w:t>heatmap</w:t>
      </w:r>
      <w:proofErr w:type="spellEnd"/>
      <w:r>
        <w:rPr>
          <w:i/>
          <w:color w:val="555555"/>
        </w:rPr>
        <w:t>, numeric features.</w:t>
      </w:r>
    </w:p>
    <w:p w:rsidR="00B43870" w:rsidRDefault="00590DC3">
      <w:pPr>
        <w:spacing w:after="0"/>
      </w:pPr>
      <w:r>
        <w:t>Checking account status is the strongest</w:t>
      </w:r>
      <w:r>
        <w:t xml:space="preserve"> categorical signal identified in the EDA. Applicants with "little" balance show roughly a 50% bad-risk rate, compared to about 27% for "moderate" and 25% for "rich", close to a twofold difference.</w:t>
      </w:r>
    </w:p>
    <w:p w:rsidR="00B43870" w:rsidRDefault="00590DC3">
      <w:pPr>
        <w:spacing w:after="70" w:line="259" w:lineRule="auto"/>
        <w:ind w:left="2563" w:firstLine="0"/>
      </w:pPr>
      <w:r>
        <w:rPr>
          <w:noProof/>
        </w:rPr>
        <w:lastRenderedPageBreak/>
        <w:drawing>
          <wp:inline distT="0" distB="0" distL="0" distR="0">
            <wp:extent cx="3143250" cy="2390775"/>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1"/>
                    <a:stretch>
                      <a:fillRect/>
                    </a:stretch>
                  </pic:blipFill>
                  <pic:spPr>
                    <a:xfrm>
                      <a:off x="0" y="0"/>
                      <a:ext cx="3143250" cy="2390775"/>
                    </a:xfrm>
                    <a:prstGeom prst="rect">
                      <a:avLst/>
                    </a:prstGeom>
                  </pic:spPr>
                </pic:pic>
              </a:graphicData>
            </a:graphic>
          </wp:inline>
        </w:drawing>
      </w:r>
    </w:p>
    <w:p w:rsidR="00B43870" w:rsidRDefault="00590DC3">
      <w:pPr>
        <w:spacing w:after="207" w:line="259" w:lineRule="auto"/>
        <w:ind w:right="9"/>
        <w:jc w:val="center"/>
      </w:pPr>
      <w:r>
        <w:rPr>
          <w:i/>
          <w:color w:val="555555"/>
        </w:rPr>
        <w:t>Figure 5. Checking account status vs. risk.</w:t>
      </w:r>
    </w:p>
    <w:p w:rsidR="00B43870" w:rsidRDefault="00590DC3">
      <w:r>
        <w:t>Loan purpose</w:t>
      </w:r>
      <w:r>
        <w:t xml:space="preserve"> versus risk was examined to inform feature engineering. Only "business" showed a bad-risk share clearly above the roughly 40% baseline, at close to 50/50, while other purposes such as education and vacation/other sat near baseline. The engineered </w:t>
      </w:r>
      <w:proofErr w:type="spellStart"/>
      <w:r>
        <w:t>High_Ris</w:t>
      </w:r>
      <w:r>
        <w:t>k_Purpose</w:t>
      </w:r>
      <w:proofErr w:type="spellEnd"/>
      <w:r>
        <w:t xml:space="preserve"> feature in Section 2.3 was narrowed to "business" only on this evidence, rather than including purposes on assumption alone.</w:t>
      </w:r>
    </w:p>
    <w:p w:rsidR="00B43870" w:rsidRDefault="00590DC3">
      <w:pPr>
        <w:spacing w:after="70" w:line="259" w:lineRule="auto"/>
        <w:ind w:left="2038" w:firstLine="0"/>
      </w:pPr>
      <w:r>
        <w:rPr>
          <w:noProof/>
        </w:rPr>
        <w:drawing>
          <wp:inline distT="0" distB="0" distL="0" distR="0">
            <wp:extent cx="3810000" cy="2543175"/>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12"/>
                    <a:stretch>
                      <a:fillRect/>
                    </a:stretch>
                  </pic:blipFill>
                  <pic:spPr>
                    <a:xfrm>
                      <a:off x="0" y="0"/>
                      <a:ext cx="3810000" cy="2543175"/>
                    </a:xfrm>
                    <a:prstGeom prst="rect">
                      <a:avLst/>
                    </a:prstGeom>
                  </pic:spPr>
                </pic:pic>
              </a:graphicData>
            </a:graphic>
          </wp:inline>
        </w:drawing>
      </w:r>
    </w:p>
    <w:p w:rsidR="00B43870" w:rsidRDefault="00590DC3">
      <w:pPr>
        <w:spacing w:after="264" w:line="259" w:lineRule="auto"/>
        <w:ind w:right="9"/>
        <w:jc w:val="center"/>
      </w:pPr>
      <w:r>
        <w:rPr>
          <w:i/>
          <w:color w:val="555555"/>
        </w:rPr>
        <w:t>Figure 6. Loan purpose vs. risk.</w:t>
      </w:r>
    </w:p>
    <w:p w:rsidR="00B43870" w:rsidRDefault="00590DC3">
      <w:pPr>
        <w:pStyle w:val="Heading2"/>
        <w:ind w:left="418" w:hanging="433"/>
      </w:pPr>
      <w:r>
        <w:t>Feature Engineering</w:t>
      </w:r>
    </w:p>
    <w:p w:rsidR="00B43870" w:rsidRDefault="00590DC3">
      <w:pPr>
        <w:numPr>
          <w:ilvl w:val="0"/>
          <w:numId w:val="1"/>
        </w:numPr>
        <w:ind w:hanging="360"/>
      </w:pPr>
      <w:proofErr w:type="spellStart"/>
      <w:r>
        <w:t>Credit_to_Duration_Ratio</w:t>
      </w:r>
      <w:proofErr w:type="spellEnd"/>
      <w:r>
        <w:t>: credit amount divided by loan duration, which captures repayment burden rather than either raw figure alone.</w:t>
      </w:r>
    </w:p>
    <w:p w:rsidR="00B43870" w:rsidRDefault="00590DC3">
      <w:pPr>
        <w:numPr>
          <w:ilvl w:val="0"/>
          <w:numId w:val="1"/>
        </w:numPr>
        <w:spacing w:after="33" w:line="259" w:lineRule="auto"/>
        <w:ind w:hanging="360"/>
      </w:pPr>
      <w:proofErr w:type="spellStart"/>
      <w:r>
        <w:t>Age_Group</w:t>
      </w:r>
      <w:proofErr w:type="spellEnd"/>
      <w:r>
        <w:t>: bucketed age (18-25, 26-35, 36-50, 50+), meant to capture non-linear age effects for linear models.</w:t>
      </w:r>
    </w:p>
    <w:p w:rsidR="00B43870" w:rsidRDefault="00590DC3">
      <w:pPr>
        <w:numPr>
          <w:ilvl w:val="0"/>
          <w:numId w:val="1"/>
        </w:numPr>
        <w:ind w:hanging="360"/>
      </w:pPr>
      <w:proofErr w:type="spellStart"/>
      <w:r>
        <w:t>High_Risk_</w:t>
      </w:r>
      <w:r>
        <w:t>Purpose</w:t>
      </w:r>
      <w:proofErr w:type="spellEnd"/>
      <w:r>
        <w:t>: a binary flag for "business"-purpose loans specifically, based on the EDA evidence in Figure 6 rather than a broader assumed list.</w:t>
      </w:r>
    </w:p>
    <w:p w:rsidR="00B43870" w:rsidRDefault="00590DC3">
      <w:pPr>
        <w:numPr>
          <w:ilvl w:val="0"/>
          <w:numId w:val="1"/>
        </w:numPr>
        <w:ind w:hanging="360"/>
      </w:pPr>
      <w:proofErr w:type="spellStart"/>
      <w:r>
        <w:t>Account_Stability</w:t>
      </w:r>
      <w:proofErr w:type="spellEnd"/>
      <w:r>
        <w:t xml:space="preserve">: a combined savings and checking account score (0 = none or missing, higher = more stable), which </w:t>
      </w:r>
      <w:r>
        <w:t>collapses two related categorical columns into one interpretable signal.</w:t>
      </w:r>
    </w:p>
    <w:p w:rsidR="00B43870" w:rsidRDefault="00590DC3">
      <w:proofErr w:type="spellStart"/>
      <w:r>
        <w:t>Account_Stability</w:t>
      </w:r>
      <w:proofErr w:type="spellEnd"/>
      <w:r>
        <w:t xml:space="preserve"> in particular is validated by the </w:t>
      </w:r>
      <w:proofErr w:type="spellStart"/>
      <w:r>
        <w:t>modeling</w:t>
      </w:r>
      <w:proofErr w:type="spellEnd"/>
      <w:r>
        <w:t xml:space="preserve"> results. It ranks in the top three most important features for all three tree-based models in Section 4.4, confirming that</w:t>
      </w:r>
      <w:r>
        <w:t xml:space="preserve"> the engineering decision added real predictive value rather than redundant signal.</w:t>
      </w:r>
    </w:p>
    <w:p w:rsidR="00B43870" w:rsidRDefault="00590DC3">
      <w:pPr>
        <w:pStyle w:val="Heading1"/>
        <w:ind w:left="340" w:hanging="355"/>
      </w:pPr>
      <w:r>
        <w:lastRenderedPageBreak/>
        <w:t>Methodology</w:t>
      </w:r>
    </w:p>
    <w:p w:rsidR="00B43870" w:rsidRDefault="00590DC3">
      <w:pPr>
        <w:pStyle w:val="Heading2"/>
        <w:ind w:left="418" w:hanging="433"/>
      </w:pPr>
      <w:proofErr w:type="spellStart"/>
      <w:r>
        <w:t>Preprocessing</w:t>
      </w:r>
      <w:proofErr w:type="spellEnd"/>
    </w:p>
    <w:p w:rsidR="00B43870" w:rsidRDefault="00590DC3">
      <w:pPr>
        <w:spacing w:after="295"/>
      </w:pPr>
      <w:r>
        <w:t xml:space="preserve">Missing </w:t>
      </w:r>
      <w:proofErr w:type="spellStart"/>
      <w:r>
        <w:t>categoricals</w:t>
      </w:r>
      <w:proofErr w:type="spellEnd"/>
      <w:r>
        <w:t xml:space="preserve"> were imputed as "unknown". All remaining categorical columns were one-hot encoded, and the target was encoded as 0 for good and 1 for bad, so that recall throughout this report refers specifically to recall on the "bad" (default) class</w:t>
      </w:r>
      <w:r>
        <w:t xml:space="preserve">, the figure the business's 75% requirement targets. The data was split 80/20 (800 train, 200 test) with stratification on Risk to preserve class balance. </w:t>
      </w:r>
      <w:proofErr w:type="spellStart"/>
      <w:r>
        <w:t>StandardScaler</w:t>
      </w:r>
      <w:proofErr w:type="spellEnd"/>
      <w:r>
        <w:t xml:space="preserve"> was fit on the training set only and then applied to both splits, avoiding leakage fro</w:t>
      </w:r>
      <w:r>
        <w:t>m the test set.</w:t>
      </w:r>
    </w:p>
    <w:p w:rsidR="00B43870" w:rsidRDefault="00590DC3">
      <w:pPr>
        <w:pStyle w:val="Heading2"/>
        <w:ind w:left="418" w:hanging="433"/>
      </w:pPr>
      <w:r>
        <w:t>Model Selection Rationale</w:t>
      </w:r>
    </w:p>
    <w:p w:rsidR="00B43870" w:rsidRDefault="00590DC3">
      <w:pPr>
        <w:spacing w:after="112"/>
      </w:pPr>
      <w:r>
        <w:t>Four models were built to span a range of interpretability and complexity, as required by the brief:</w:t>
      </w:r>
    </w:p>
    <w:p w:rsidR="00B43870" w:rsidRDefault="00590DC3">
      <w:pPr>
        <w:numPr>
          <w:ilvl w:val="0"/>
          <w:numId w:val="2"/>
        </w:numPr>
        <w:ind w:hanging="360"/>
      </w:pPr>
      <w:r>
        <w:t xml:space="preserve">Logistic Regression: the baseline model, fully interpretable through its coefficients and the fastest to retrain </w:t>
      </w:r>
      <w:r>
        <w:t>and audit.</w:t>
      </w:r>
    </w:p>
    <w:p w:rsidR="00B43870" w:rsidRDefault="00590DC3">
      <w:pPr>
        <w:numPr>
          <w:ilvl w:val="0"/>
          <w:numId w:val="2"/>
        </w:numPr>
        <w:ind w:hanging="360"/>
      </w:pPr>
      <w:r>
        <w:t>Decision Tree: a single interpretable tree, useful as a readability benchmark against the ensembles.</w:t>
      </w:r>
    </w:p>
    <w:p w:rsidR="00B43870" w:rsidRDefault="00590DC3">
      <w:pPr>
        <w:numPr>
          <w:ilvl w:val="0"/>
          <w:numId w:val="2"/>
        </w:numPr>
        <w:ind w:hanging="360"/>
      </w:pPr>
      <w:r>
        <w:t>Random Forest: an ensemble of trees, generally more robust than a single tree, with moderate interpretability through feature importance.</w:t>
      </w:r>
    </w:p>
    <w:p w:rsidR="00B43870" w:rsidRDefault="00590DC3">
      <w:pPr>
        <w:numPr>
          <w:ilvl w:val="0"/>
          <w:numId w:val="2"/>
        </w:numPr>
        <w:spacing w:after="294"/>
        <w:ind w:hanging="360"/>
      </w:pPr>
      <w:proofErr w:type="spellStart"/>
      <w:r>
        <w:t>XGBoos</w:t>
      </w:r>
      <w:r>
        <w:t>t</w:t>
      </w:r>
      <w:proofErr w:type="spellEnd"/>
      <w:r>
        <w:t>: a gradient-boosted ensemble, typically the strongest performer on tabular data of this kind, with interpretability supported through feature importance rather than direct coefficients.</w:t>
      </w:r>
    </w:p>
    <w:p w:rsidR="00B43870" w:rsidRDefault="00590DC3">
      <w:pPr>
        <w:pStyle w:val="Heading2"/>
        <w:ind w:left="418" w:hanging="433"/>
      </w:pPr>
      <w:proofErr w:type="spellStart"/>
      <w:r>
        <w:t>Hyperparameter</w:t>
      </w:r>
      <w:proofErr w:type="spellEnd"/>
      <w:r>
        <w:t xml:space="preserve"> Tuning Strategy</w:t>
      </w:r>
    </w:p>
    <w:p w:rsidR="00B43870" w:rsidRDefault="00590DC3">
      <w:pPr>
        <w:spacing w:after="118"/>
      </w:pPr>
      <w:r>
        <w:t xml:space="preserve">Random Forest and </w:t>
      </w:r>
      <w:proofErr w:type="spellStart"/>
      <w:r>
        <w:t>XGBoost</w:t>
      </w:r>
      <w:proofErr w:type="spellEnd"/>
      <w:r>
        <w:t xml:space="preserve"> were tuned using </w:t>
      </w:r>
      <w:proofErr w:type="spellStart"/>
      <w:r>
        <w:t>GridSearchCV</w:t>
      </w:r>
      <w:proofErr w:type="spellEnd"/>
      <w:r>
        <w:t xml:space="preserve"> with 5-fold cross-validation, scored on F1. This balances precision and recall during the search, rather than optimizing recall alone, which could otherwise push a model toward flagging nearly every a</w:t>
      </w:r>
      <w:r>
        <w:t>pplicant as high risk.</w:t>
      </w:r>
    </w:p>
    <w:p w:rsidR="00B43870" w:rsidRDefault="00590DC3">
      <w:pPr>
        <w:numPr>
          <w:ilvl w:val="0"/>
          <w:numId w:val="3"/>
        </w:numPr>
        <w:ind w:hanging="360"/>
      </w:pPr>
      <w:r>
        <w:t xml:space="preserve">Random Forest grid: </w:t>
      </w:r>
      <w:proofErr w:type="spellStart"/>
      <w:r>
        <w:t>n_estimators</w:t>
      </w:r>
      <w:proofErr w:type="spellEnd"/>
      <w:r>
        <w:t xml:space="preserve"> [100, 200], </w:t>
      </w:r>
      <w:proofErr w:type="spellStart"/>
      <w:r>
        <w:t>max_depth</w:t>
      </w:r>
      <w:proofErr w:type="spellEnd"/>
      <w:r>
        <w:t xml:space="preserve"> [10, 20, None], </w:t>
      </w:r>
      <w:proofErr w:type="spellStart"/>
      <w:r>
        <w:t>min_samples_split</w:t>
      </w:r>
      <w:proofErr w:type="spellEnd"/>
      <w:r>
        <w:t xml:space="preserve"> [2, 5], </w:t>
      </w:r>
      <w:proofErr w:type="spellStart"/>
      <w:r>
        <w:t>min_samples_leaf</w:t>
      </w:r>
      <w:proofErr w:type="spellEnd"/>
      <w:r>
        <w:t xml:space="preserve"> [1, 2].</w:t>
      </w:r>
    </w:p>
    <w:p w:rsidR="00B43870" w:rsidRDefault="00590DC3">
      <w:pPr>
        <w:numPr>
          <w:ilvl w:val="0"/>
          <w:numId w:val="3"/>
        </w:numPr>
        <w:ind w:hanging="360"/>
      </w:pPr>
      <w:proofErr w:type="spellStart"/>
      <w:r>
        <w:t>XGBoost</w:t>
      </w:r>
      <w:proofErr w:type="spellEnd"/>
      <w:r>
        <w:t xml:space="preserve"> grid: </w:t>
      </w:r>
      <w:proofErr w:type="spellStart"/>
      <w:r>
        <w:t>learning_rate</w:t>
      </w:r>
      <w:proofErr w:type="spellEnd"/>
      <w:r>
        <w:t xml:space="preserve"> [0.01, 0.1], </w:t>
      </w:r>
      <w:proofErr w:type="spellStart"/>
      <w:r>
        <w:t>max_depth</w:t>
      </w:r>
      <w:proofErr w:type="spellEnd"/>
      <w:r>
        <w:t xml:space="preserve"> [3, 5, 7], </w:t>
      </w:r>
      <w:proofErr w:type="spellStart"/>
      <w:r>
        <w:t>n_estimators</w:t>
      </w:r>
      <w:proofErr w:type="spellEnd"/>
      <w:r>
        <w:t xml:space="preserve"> [100, 200].</w:t>
      </w:r>
    </w:p>
    <w:p w:rsidR="00B43870" w:rsidRDefault="00590DC3">
      <w:pPr>
        <w:spacing w:after="295"/>
      </w:pPr>
      <w:r>
        <w:t xml:space="preserve">Logistic Regression and </w:t>
      </w:r>
      <w:r>
        <w:t xml:space="preserve">Decision Tree were kept as </w:t>
      </w:r>
      <w:proofErr w:type="spellStart"/>
      <w:r>
        <w:t>untuned</w:t>
      </w:r>
      <w:proofErr w:type="spellEnd"/>
      <w:r>
        <w:t xml:space="preserve"> baselines. This is consistent with Logistic Regression's role as the project's explicit baseline model, and it gives a clean pre-tuning reference point for the two ensembles.</w:t>
      </w:r>
    </w:p>
    <w:p w:rsidR="00B43870" w:rsidRDefault="00590DC3">
      <w:pPr>
        <w:pStyle w:val="Heading2"/>
        <w:ind w:left="418" w:hanging="433"/>
      </w:pPr>
      <w:r>
        <w:t>Experiment Tracking</w:t>
      </w:r>
    </w:p>
    <w:p w:rsidR="00B43870" w:rsidRDefault="00590DC3">
      <w:r>
        <w:t>All 6 model runs, 4 baseli</w:t>
      </w:r>
      <w:r>
        <w:t xml:space="preserve">ne plus 2 tuned, were logged to </w:t>
      </w:r>
      <w:proofErr w:type="spellStart"/>
      <w:r>
        <w:t>MLflow</w:t>
      </w:r>
      <w:proofErr w:type="spellEnd"/>
      <w:r>
        <w:t xml:space="preserve"> under a single experiment (</w:t>
      </w:r>
      <w:proofErr w:type="spellStart"/>
      <w:r>
        <w:t>credit_risk_classification</w:t>
      </w:r>
      <w:proofErr w:type="spellEnd"/>
      <w:r>
        <w:t xml:space="preserve">). Each run was named separately and logged with its parameters, the 5 evaluation metrics, and a confusion matrix image </w:t>
      </w:r>
      <w:proofErr w:type="spellStart"/>
      <w:r>
        <w:t>artifact</w:t>
      </w:r>
      <w:proofErr w:type="spellEnd"/>
      <w:r>
        <w:t>, giving a complete and auditable re</w:t>
      </w:r>
      <w:r>
        <w:t>cord of every model variant trained during this project.</w:t>
      </w:r>
    </w:p>
    <w:p w:rsidR="00B43870" w:rsidRDefault="00590DC3">
      <w:pPr>
        <w:pStyle w:val="Heading1"/>
        <w:ind w:left="340" w:hanging="355"/>
      </w:pPr>
      <w:r>
        <w:t>Results</w:t>
      </w:r>
    </w:p>
    <w:p w:rsidR="00B43870" w:rsidRDefault="00590DC3">
      <w:pPr>
        <w:pStyle w:val="Heading2"/>
        <w:ind w:left="418" w:hanging="433"/>
      </w:pPr>
      <w:r>
        <w:t>Model Comparison</w:t>
      </w:r>
    </w:p>
    <w:tbl>
      <w:tblPr>
        <w:tblStyle w:val="TableGrid"/>
        <w:tblW w:w="7800" w:type="dxa"/>
        <w:tblInd w:w="4" w:type="dxa"/>
        <w:tblCellMar>
          <w:top w:w="74" w:type="dxa"/>
          <w:left w:w="101" w:type="dxa"/>
          <w:bottom w:w="0" w:type="dxa"/>
          <w:right w:w="106" w:type="dxa"/>
        </w:tblCellMar>
        <w:tblLook w:val="04A0" w:firstRow="1" w:lastRow="0" w:firstColumn="1" w:lastColumn="0" w:noHBand="0" w:noVBand="1"/>
      </w:tblPr>
      <w:tblGrid>
        <w:gridCol w:w="2044"/>
        <w:gridCol w:w="1152"/>
        <w:gridCol w:w="1150"/>
        <w:gridCol w:w="1152"/>
        <w:gridCol w:w="1150"/>
        <w:gridCol w:w="1152"/>
      </w:tblGrid>
      <w:tr w:rsidR="00B43870">
        <w:trPr>
          <w:trHeight w:val="360"/>
        </w:trPr>
        <w:tc>
          <w:tcPr>
            <w:tcW w:w="2044" w:type="dxa"/>
            <w:tcBorders>
              <w:top w:val="single" w:sz="4" w:space="0" w:color="000000"/>
              <w:left w:val="single" w:sz="4" w:space="0" w:color="000000"/>
              <w:bottom w:val="single" w:sz="4" w:space="0" w:color="000000"/>
              <w:right w:val="single" w:sz="4" w:space="0" w:color="000000"/>
            </w:tcBorders>
            <w:shd w:val="clear" w:color="auto" w:fill="2F5496"/>
          </w:tcPr>
          <w:p w:rsidR="00B43870" w:rsidRDefault="00590DC3">
            <w:pPr>
              <w:spacing w:after="0" w:line="259" w:lineRule="auto"/>
              <w:ind w:left="0" w:firstLine="0"/>
            </w:pPr>
            <w:r>
              <w:rPr>
                <w:b/>
                <w:color w:val="FFFFFF"/>
              </w:rPr>
              <w:t>Model</w:t>
            </w:r>
          </w:p>
        </w:tc>
        <w:tc>
          <w:tcPr>
            <w:tcW w:w="1152" w:type="dxa"/>
            <w:tcBorders>
              <w:top w:val="single" w:sz="4" w:space="0" w:color="000000"/>
              <w:left w:val="single" w:sz="4" w:space="0" w:color="000000"/>
              <w:bottom w:val="single" w:sz="4" w:space="0" w:color="000000"/>
              <w:right w:val="single" w:sz="4" w:space="0" w:color="000000"/>
            </w:tcBorders>
            <w:shd w:val="clear" w:color="auto" w:fill="2F5496"/>
          </w:tcPr>
          <w:p w:rsidR="00B43870" w:rsidRDefault="00590DC3">
            <w:pPr>
              <w:spacing w:after="0" w:line="259" w:lineRule="auto"/>
              <w:ind w:left="1" w:firstLine="0"/>
            </w:pPr>
            <w:r>
              <w:rPr>
                <w:b/>
                <w:color w:val="FFFFFF"/>
              </w:rPr>
              <w:t>Accuracy</w:t>
            </w:r>
          </w:p>
        </w:tc>
        <w:tc>
          <w:tcPr>
            <w:tcW w:w="1150" w:type="dxa"/>
            <w:tcBorders>
              <w:top w:val="single" w:sz="4" w:space="0" w:color="000000"/>
              <w:left w:val="single" w:sz="4" w:space="0" w:color="000000"/>
              <w:bottom w:val="single" w:sz="4" w:space="0" w:color="000000"/>
              <w:right w:val="single" w:sz="4" w:space="0" w:color="000000"/>
            </w:tcBorders>
            <w:shd w:val="clear" w:color="auto" w:fill="2F5496"/>
          </w:tcPr>
          <w:p w:rsidR="00B43870" w:rsidRDefault="00590DC3">
            <w:pPr>
              <w:spacing w:after="0" w:line="259" w:lineRule="auto"/>
              <w:ind w:left="0" w:firstLine="0"/>
            </w:pPr>
            <w:r>
              <w:rPr>
                <w:b/>
                <w:color w:val="FFFFFF"/>
              </w:rPr>
              <w:t>Precision</w:t>
            </w:r>
          </w:p>
        </w:tc>
        <w:tc>
          <w:tcPr>
            <w:tcW w:w="1152" w:type="dxa"/>
            <w:tcBorders>
              <w:top w:val="single" w:sz="4" w:space="0" w:color="000000"/>
              <w:left w:val="single" w:sz="4" w:space="0" w:color="000000"/>
              <w:bottom w:val="single" w:sz="4" w:space="0" w:color="000000"/>
              <w:right w:val="single" w:sz="4" w:space="0" w:color="000000"/>
            </w:tcBorders>
            <w:shd w:val="clear" w:color="auto" w:fill="2F5496"/>
          </w:tcPr>
          <w:p w:rsidR="00B43870" w:rsidRDefault="00590DC3">
            <w:pPr>
              <w:spacing w:after="0" w:line="259" w:lineRule="auto"/>
              <w:ind w:left="1" w:firstLine="0"/>
            </w:pPr>
            <w:r>
              <w:rPr>
                <w:b/>
                <w:color w:val="FFFFFF"/>
              </w:rPr>
              <w:t>Recall</w:t>
            </w:r>
          </w:p>
        </w:tc>
        <w:tc>
          <w:tcPr>
            <w:tcW w:w="1150" w:type="dxa"/>
            <w:tcBorders>
              <w:top w:val="single" w:sz="4" w:space="0" w:color="000000"/>
              <w:left w:val="single" w:sz="4" w:space="0" w:color="000000"/>
              <w:bottom w:val="single" w:sz="4" w:space="0" w:color="000000"/>
              <w:right w:val="single" w:sz="4" w:space="0" w:color="000000"/>
            </w:tcBorders>
            <w:shd w:val="clear" w:color="auto" w:fill="2F5496"/>
          </w:tcPr>
          <w:p w:rsidR="00B43870" w:rsidRDefault="00590DC3">
            <w:pPr>
              <w:spacing w:after="0" w:line="259" w:lineRule="auto"/>
              <w:ind w:left="0" w:firstLine="0"/>
            </w:pPr>
            <w:r>
              <w:rPr>
                <w:b/>
                <w:color w:val="FFFFFF"/>
              </w:rPr>
              <w:t>F1-Score</w:t>
            </w:r>
          </w:p>
        </w:tc>
        <w:tc>
          <w:tcPr>
            <w:tcW w:w="1152" w:type="dxa"/>
            <w:tcBorders>
              <w:top w:val="single" w:sz="4" w:space="0" w:color="000000"/>
              <w:left w:val="single" w:sz="4" w:space="0" w:color="000000"/>
              <w:bottom w:val="single" w:sz="4" w:space="0" w:color="000000"/>
              <w:right w:val="single" w:sz="4" w:space="0" w:color="000000"/>
            </w:tcBorders>
            <w:shd w:val="clear" w:color="auto" w:fill="2F5496"/>
          </w:tcPr>
          <w:p w:rsidR="00B43870" w:rsidRDefault="00590DC3">
            <w:pPr>
              <w:spacing w:after="0" w:line="259" w:lineRule="auto"/>
              <w:ind w:left="1" w:firstLine="0"/>
              <w:jc w:val="both"/>
            </w:pPr>
            <w:r>
              <w:rPr>
                <w:b/>
                <w:color w:val="FFFFFF"/>
              </w:rPr>
              <w:t>AUC-ROC</w:t>
            </w:r>
          </w:p>
        </w:tc>
      </w:tr>
      <w:tr w:rsidR="00B43870">
        <w:trPr>
          <w:trHeight w:val="362"/>
        </w:trPr>
        <w:tc>
          <w:tcPr>
            <w:tcW w:w="2044" w:type="dxa"/>
            <w:tcBorders>
              <w:top w:val="single" w:sz="4" w:space="0" w:color="000000"/>
              <w:left w:val="single" w:sz="4" w:space="0" w:color="000000"/>
              <w:bottom w:val="single" w:sz="4" w:space="0" w:color="000000"/>
              <w:right w:val="single" w:sz="4" w:space="0" w:color="000000"/>
            </w:tcBorders>
            <w:shd w:val="clear" w:color="auto" w:fill="F2F2F2"/>
          </w:tcPr>
          <w:p w:rsidR="00B43870" w:rsidRDefault="00590DC3">
            <w:pPr>
              <w:spacing w:after="0" w:line="259" w:lineRule="auto"/>
              <w:ind w:left="0" w:firstLine="0"/>
            </w:pPr>
            <w:r>
              <w:rPr>
                <w:b/>
              </w:rPr>
              <w:t>Logistic Regression</w:t>
            </w:r>
          </w:p>
        </w:tc>
        <w:tc>
          <w:tcPr>
            <w:tcW w:w="1152" w:type="dxa"/>
            <w:tcBorders>
              <w:top w:val="single" w:sz="4" w:space="0" w:color="000000"/>
              <w:left w:val="single" w:sz="4" w:space="0" w:color="000000"/>
              <w:bottom w:val="single" w:sz="4" w:space="0" w:color="000000"/>
              <w:right w:val="single" w:sz="4" w:space="0" w:color="000000"/>
            </w:tcBorders>
            <w:shd w:val="clear" w:color="auto" w:fill="F2F2F2"/>
          </w:tcPr>
          <w:p w:rsidR="00B43870" w:rsidRDefault="00590DC3">
            <w:pPr>
              <w:spacing w:after="0" w:line="259" w:lineRule="auto"/>
              <w:ind w:left="1" w:firstLine="0"/>
            </w:pPr>
            <w:r>
              <w:t>0.835</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Pr>
          <w:p w:rsidR="00B43870" w:rsidRDefault="00590DC3">
            <w:pPr>
              <w:spacing w:after="0" w:line="259" w:lineRule="auto"/>
              <w:ind w:left="0" w:firstLine="0"/>
            </w:pPr>
            <w:r>
              <w:t>0.811</w:t>
            </w:r>
          </w:p>
        </w:tc>
        <w:tc>
          <w:tcPr>
            <w:tcW w:w="1152" w:type="dxa"/>
            <w:tcBorders>
              <w:top w:val="single" w:sz="4" w:space="0" w:color="000000"/>
              <w:left w:val="single" w:sz="4" w:space="0" w:color="000000"/>
              <w:bottom w:val="single" w:sz="4" w:space="0" w:color="000000"/>
              <w:right w:val="single" w:sz="4" w:space="0" w:color="000000"/>
            </w:tcBorders>
            <w:shd w:val="clear" w:color="auto" w:fill="F2F2F2"/>
          </w:tcPr>
          <w:p w:rsidR="00B43870" w:rsidRDefault="00590DC3">
            <w:pPr>
              <w:spacing w:after="0" w:line="259" w:lineRule="auto"/>
              <w:ind w:left="1" w:firstLine="0"/>
            </w:pPr>
            <w:r>
              <w:t>0.759</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Pr>
          <w:p w:rsidR="00B43870" w:rsidRDefault="00590DC3">
            <w:pPr>
              <w:spacing w:after="0" w:line="259" w:lineRule="auto"/>
              <w:ind w:left="0" w:firstLine="0"/>
            </w:pPr>
            <w:r>
              <w:t>0.784</w:t>
            </w:r>
          </w:p>
        </w:tc>
        <w:tc>
          <w:tcPr>
            <w:tcW w:w="1152" w:type="dxa"/>
            <w:tcBorders>
              <w:top w:val="single" w:sz="4" w:space="0" w:color="000000"/>
              <w:left w:val="single" w:sz="4" w:space="0" w:color="000000"/>
              <w:bottom w:val="single" w:sz="4" w:space="0" w:color="000000"/>
              <w:right w:val="single" w:sz="4" w:space="0" w:color="000000"/>
            </w:tcBorders>
            <w:shd w:val="clear" w:color="auto" w:fill="F2F2F2"/>
          </w:tcPr>
          <w:p w:rsidR="00B43870" w:rsidRDefault="00590DC3">
            <w:pPr>
              <w:spacing w:after="0" w:line="259" w:lineRule="auto"/>
              <w:ind w:left="1" w:firstLine="0"/>
            </w:pPr>
            <w:r>
              <w:t>0.925</w:t>
            </w:r>
          </w:p>
        </w:tc>
      </w:tr>
      <w:tr w:rsidR="00B43870">
        <w:trPr>
          <w:trHeight w:val="361"/>
        </w:trPr>
        <w:tc>
          <w:tcPr>
            <w:tcW w:w="2044"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rPr>
                <w:b/>
              </w:rPr>
              <w:t>Decision Tree</w:t>
            </w:r>
          </w:p>
        </w:tc>
        <w:tc>
          <w:tcPr>
            <w:tcW w:w="1152"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1" w:firstLine="0"/>
            </w:pPr>
            <w:r>
              <w:t>0.825</w:t>
            </w:r>
          </w:p>
        </w:tc>
        <w:tc>
          <w:tcPr>
            <w:tcW w:w="115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0.775</w:t>
            </w:r>
          </w:p>
        </w:tc>
        <w:tc>
          <w:tcPr>
            <w:tcW w:w="1152"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1" w:firstLine="0"/>
            </w:pPr>
            <w:r>
              <w:t>0.785</w:t>
            </w:r>
          </w:p>
        </w:tc>
        <w:tc>
          <w:tcPr>
            <w:tcW w:w="115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0.780</w:t>
            </w:r>
          </w:p>
        </w:tc>
        <w:tc>
          <w:tcPr>
            <w:tcW w:w="1152"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1" w:firstLine="0"/>
            </w:pPr>
            <w:r>
              <w:t>0.818</w:t>
            </w:r>
          </w:p>
        </w:tc>
      </w:tr>
      <w:tr w:rsidR="00B43870">
        <w:trPr>
          <w:trHeight w:val="592"/>
        </w:trPr>
        <w:tc>
          <w:tcPr>
            <w:tcW w:w="2044" w:type="dxa"/>
            <w:tcBorders>
              <w:top w:val="single" w:sz="4" w:space="0" w:color="000000"/>
              <w:left w:val="single" w:sz="4" w:space="0" w:color="000000"/>
              <w:bottom w:val="single" w:sz="4" w:space="0" w:color="000000"/>
              <w:right w:val="single" w:sz="4" w:space="0" w:color="000000"/>
            </w:tcBorders>
            <w:shd w:val="clear" w:color="auto" w:fill="F2F2F2"/>
          </w:tcPr>
          <w:p w:rsidR="00B43870" w:rsidRDefault="00590DC3">
            <w:pPr>
              <w:spacing w:after="0" w:line="259" w:lineRule="auto"/>
              <w:ind w:left="0" w:firstLine="0"/>
            </w:pPr>
            <w:r>
              <w:rPr>
                <w:b/>
              </w:rPr>
              <w:t>Random Forest (tuned)</w:t>
            </w:r>
          </w:p>
        </w:tc>
        <w:tc>
          <w:tcPr>
            <w:tcW w:w="1152" w:type="dxa"/>
            <w:tcBorders>
              <w:top w:val="single" w:sz="4" w:space="0" w:color="000000"/>
              <w:left w:val="single" w:sz="4" w:space="0" w:color="000000"/>
              <w:bottom w:val="single" w:sz="4" w:space="0" w:color="000000"/>
              <w:right w:val="single" w:sz="4" w:space="0" w:color="000000"/>
            </w:tcBorders>
            <w:shd w:val="clear" w:color="auto" w:fill="F2F2F2"/>
          </w:tcPr>
          <w:p w:rsidR="00B43870" w:rsidRDefault="00590DC3">
            <w:pPr>
              <w:spacing w:after="0" w:line="259" w:lineRule="auto"/>
              <w:ind w:left="1" w:firstLine="0"/>
            </w:pPr>
            <w:r>
              <w:t>0.850</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Pr>
          <w:p w:rsidR="00B43870" w:rsidRDefault="00590DC3">
            <w:pPr>
              <w:spacing w:after="0" w:line="259" w:lineRule="auto"/>
              <w:ind w:left="0" w:firstLine="0"/>
            </w:pPr>
            <w:r>
              <w:t>0.902</w:t>
            </w:r>
          </w:p>
        </w:tc>
        <w:tc>
          <w:tcPr>
            <w:tcW w:w="1152" w:type="dxa"/>
            <w:tcBorders>
              <w:top w:val="single" w:sz="4" w:space="0" w:color="000000"/>
              <w:left w:val="single" w:sz="4" w:space="0" w:color="000000"/>
              <w:bottom w:val="single" w:sz="4" w:space="0" w:color="000000"/>
              <w:right w:val="single" w:sz="4" w:space="0" w:color="000000"/>
            </w:tcBorders>
            <w:shd w:val="clear" w:color="auto" w:fill="F2F2F2"/>
          </w:tcPr>
          <w:p w:rsidR="00B43870" w:rsidRDefault="00590DC3">
            <w:pPr>
              <w:spacing w:after="0" w:line="259" w:lineRule="auto"/>
              <w:ind w:left="1" w:firstLine="0"/>
            </w:pPr>
            <w:r>
              <w:t>0.696</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Pr>
          <w:p w:rsidR="00B43870" w:rsidRDefault="00590DC3">
            <w:pPr>
              <w:spacing w:after="0" w:line="259" w:lineRule="auto"/>
              <w:ind w:left="0" w:firstLine="0"/>
            </w:pPr>
            <w:r>
              <w:t>0.786</w:t>
            </w:r>
          </w:p>
        </w:tc>
        <w:tc>
          <w:tcPr>
            <w:tcW w:w="1152" w:type="dxa"/>
            <w:tcBorders>
              <w:top w:val="single" w:sz="4" w:space="0" w:color="000000"/>
              <w:left w:val="single" w:sz="4" w:space="0" w:color="000000"/>
              <w:bottom w:val="single" w:sz="4" w:space="0" w:color="000000"/>
              <w:right w:val="single" w:sz="4" w:space="0" w:color="000000"/>
            </w:tcBorders>
            <w:shd w:val="clear" w:color="auto" w:fill="F2F2F2"/>
          </w:tcPr>
          <w:p w:rsidR="00B43870" w:rsidRDefault="00590DC3">
            <w:pPr>
              <w:spacing w:after="0" w:line="259" w:lineRule="auto"/>
              <w:ind w:left="1" w:firstLine="0"/>
            </w:pPr>
            <w:r>
              <w:t>0.938</w:t>
            </w:r>
          </w:p>
        </w:tc>
      </w:tr>
      <w:tr w:rsidR="00B43870">
        <w:trPr>
          <w:trHeight w:val="362"/>
        </w:trPr>
        <w:tc>
          <w:tcPr>
            <w:tcW w:w="2044" w:type="dxa"/>
            <w:tcBorders>
              <w:top w:val="single" w:sz="4" w:space="0" w:color="000000"/>
              <w:left w:val="single" w:sz="4" w:space="0" w:color="000000"/>
              <w:bottom w:val="single" w:sz="4" w:space="0" w:color="000000"/>
              <w:right w:val="single" w:sz="4" w:space="0" w:color="000000"/>
            </w:tcBorders>
            <w:shd w:val="clear" w:color="auto" w:fill="D9E2F3"/>
          </w:tcPr>
          <w:p w:rsidR="00B43870" w:rsidRDefault="00590DC3">
            <w:pPr>
              <w:spacing w:after="0" w:line="259" w:lineRule="auto"/>
              <w:ind w:left="0" w:firstLine="0"/>
            </w:pPr>
            <w:proofErr w:type="spellStart"/>
            <w:r>
              <w:rPr>
                <w:b/>
              </w:rPr>
              <w:t>XGBoost</w:t>
            </w:r>
            <w:proofErr w:type="spellEnd"/>
            <w:r>
              <w:rPr>
                <w:b/>
              </w:rPr>
              <w:t xml:space="preserve"> (tuned)</w:t>
            </w:r>
          </w:p>
        </w:tc>
        <w:tc>
          <w:tcPr>
            <w:tcW w:w="1152" w:type="dxa"/>
            <w:tcBorders>
              <w:top w:val="single" w:sz="4" w:space="0" w:color="000000"/>
              <w:left w:val="single" w:sz="4" w:space="0" w:color="000000"/>
              <w:bottom w:val="single" w:sz="4" w:space="0" w:color="000000"/>
              <w:right w:val="single" w:sz="4" w:space="0" w:color="000000"/>
            </w:tcBorders>
            <w:shd w:val="clear" w:color="auto" w:fill="D9E2F3"/>
          </w:tcPr>
          <w:p w:rsidR="00B43870" w:rsidRDefault="00590DC3">
            <w:pPr>
              <w:spacing w:after="0" w:line="259" w:lineRule="auto"/>
              <w:ind w:left="1" w:firstLine="0"/>
            </w:pPr>
            <w:r>
              <w:rPr>
                <w:b/>
              </w:rPr>
              <w:t>0.875</w:t>
            </w:r>
          </w:p>
        </w:tc>
        <w:tc>
          <w:tcPr>
            <w:tcW w:w="1150" w:type="dxa"/>
            <w:tcBorders>
              <w:top w:val="single" w:sz="4" w:space="0" w:color="000000"/>
              <w:left w:val="single" w:sz="4" w:space="0" w:color="000000"/>
              <w:bottom w:val="single" w:sz="4" w:space="0" w:color="000000"/>
              <w:right w:val="single" w:sz="4" w:space="0" w:color="000000"/>
            </w:tcBorders>
            <w:shd w:val="clear" w:color="auto" w:fill="D9E2F3"/>
          </w:tcPr>
          <w:p w:rsidR="00B43870" w:rsidRDefault="00590DC3">
            <w:pPr>
              <w:spacing w:after="0" w:line="259" w:lineRule="auto"/>
              <w:ind w:left="0" w:firstLine="0"/>
            </w:pPr>
            <w:r>
              <w:rPr>
                <w:b/>
              </w:rPr>
              <w:t>0.855</w:t>
            </w:r>
          </w:p>
        </w:tc>
        <w:tc>
          <w:tcPr>
            <w:tcW w:w="1152" w:type="dxa"/>
            <w:tcBorders>
              <w:top w:val="single" w:sz="4" w:space="0" w:color="000000"/>
              <w:left w:val="single" w:sz="4" w:space="0" w:color="000000"/>
              <w:bottom w:val="single" w:sz="4" w:space="0" w:color="000000"/>
              <w:right w:val="single" w:sz="4" w:space="0" w:color="000000"/>
            </w:tcBorders>
            <w:shd w:val="clear" w:color="auto" w:fill="D9E2F3"/>
          </w:tcPr>
          <w:p w:rsidR="00B43870" w:rsidRDefault="00590DC3">
            <w:pPr>
              <w:spacing w:after="0" w:line="259" w:lineRule="auto"/>
              <w:ind w:left="1" w:firstLine="0"/>
            </w:pPr>
            <w:r>
              <w:rPr>
                <w:b/>
              </w:rPr>
              <w:t>0.823</w:t>
            </w:r>
          </w:p>
        </w:tc>
        <w:tc>
          <w:tcPr>
            <w:tcW w:w="1150" w:type="dxa"/>
            <w:tcBorders>
              <w:top w:val="single" w:sz="4" w:space="0" w:color="000000"/>
              <w:left w:val="single" w:sz="4" w:space="0" w:color="000000"/>
              <w:bottom w:val="single" w:sz="4" w:space="0" w:color="000000"/>
              <w:right w:val="single" w:sz="4" w:space="0" w:color="000000"/>
            </w:tcBorders>
            <w:shd w:val="clear" w:color="auto" w:fill="D9E2F3"/>
          </w:tcPr>
          <w:p w:rsidR="00B43870" w:rsidRDefault="00590DC3">
            <w:pPr>
              <w:spacing w:after="0" w:line="259" w:lineRule="auto"/>
              <w:ind w:left="0" w:firstLine="0"/>
            </w:pPr>
            <w:r>
              <w:rPr>
                <w:b/>
              </w:rPr>
              <w:t>0.839</w:t>
            </w:r>
          </w:p>
        </w:tc>
        <w:tc>
          <w:tcPr>
            <w:tcW w:w="1152" w:type="dxa"/>
            <w:tcBorders>
              <w:top w:val="single" w:sz="4" w:space="0" w:color="000000"/>
              <w:left w:val="single" w:sz="4" w:space="0" w:color="000000"/>
              <w:bottom w:val="single" w:sz="4" w:space="0" w:color="000000"/>
              <w:right w:val="single" w:sz="4" w:space="0" w:color="000000"/>
            </w:tcBorders>
            <w:shd w:val="clear" w:color="auto" w:fill="D9E2F3"/>
          </w:tcPr>
          <w:p w:rsidR="00B43870" w:rsidRDefault="00590DC3">
            <w:pPr>
              <w:spacing w:after="0" w:line="259" w:lineRule="auto"/>
              <w:ind w:left="1" w:firstLine="0"/>
            </w:pPr>
            <w:r>
              <w:rPr>
                <w:b/>
              </w:rPr>
              <w:t>0.953</w:t>
            </w:r>
          </w:p>
        </w:tc>
      </w:tr>
    </w:tbl>
    <w:p w:rsidR="00B43870" w:rsidRDefault="00590DC3">
      <w:pPr>
        <w:spacing w:after="70" w:line="259" w:lineRule="auto"/>
        <w:ind w:left="1438" w:firstLine="0"/>
      </w:pPr>
      <w:r>
        <w:rPr>
          <w:noProof/>
        </w:rPr>
        <w:lastRenderedPageBreak/>
        <w:drawing>
          <wp:inline distT="0" distB="0" distL="0" distR="0">
            <wp:extent cx="4572000" cy="2057400"/>
            <wp:effectExtent l="0" t="0" r="0" b="0"/>
            <wp:docPr id="304" name="Picture 304"/>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13"/>
                    <a:stretch>
                      <a:fillRect/>
                    </a:stretch>
                  </pic:blipFill>
                  <pic:spPr>
                    <a:xfrm>
                      <a:off x="0" y="0"/>
                      <a:ext cx="4572000" cy="2057400"/>
                    </a:xfrm>
                    <a:prstGeom prst="rect">
                      <a:avLst/>
                    </a:prstGeom>
                  </pic:spPr>
                </pic:pic>
              </a:graphicData>
            </a:graphic>
          </wp:inline>
        </w:drawing>
      </w:r>
    </w:p>
    <w:p w:rsidR="00B43870" w:rsidRDefault="00590DC3">
      <w:pPr>
        <w:spacing w:after="264" w:line="259" w:lineRule="auto"/>
        <w:ind w:right="9"/>
        <w:jc w:val="center"/>
      </w:pPr>
      <w:r>
        <w:rPr>
          <w:i/>
          <w:color w:val="555555"/>
        </w:rPr>
        <w:t>Figure 7. All 4 models across all 5 metrics.</w:t>
      </w:r>
    </w:p>
    <w:p w:rsidR="00B43870" w:rsidRDefault="00590DC3">
      <w:pPr>
        <w:pStyle w:val="Heading2"/>
        <w:ind w:left="418" w:hanging="433"/>
      </w:pPr>
      <w:r>
        <w:t>Confusion Matrices</w:t>
      </w:r>
    </w:p>
    <w:p w:rsidR="00B43870" w:rsidRDefault="00590DC3">
      <w:pPr>
        <w:spacing w:after="25"/>
      </w:pPr>
      <w:r>
        <w:t>Confusion matrices reveal what the metrics mean in real terms: specifically, how many actual defaulters (bad risk) each model misses as false negatives.</w:t>
      </w:r>
    </w:p>
    <w:tbl>
      <w:tblPr>
        <w:tblStyle w:val="TableGrid"/>
        <w:tblW w:w="9300" w:type="dxa"/>
        <w:tblInd w:w="4" w:type="dxa"/>
        <w:tblCellMar>
          <w:top w:w="74" w:type="dxa"/>
          <w:left w:w="101" w:type="dxa"/>
          <w:bottom w:w="0" w:type="dxa"/>
          <w:right w:w="115" w:type="dxa"/>
        </w:tblCellMar>
        <w:tblLook w:val="04A0" w:firstRow="1" w:lastRow="0" w:firstColumn="1" w:lastColumn="0" w:noHBand="0" w:noVBand="1"/>
      </w:tblPr>
      <w:tblGrid>
        <w:gridCol w:w="2698"/>
        <w:gridCol w:w="1402"/>
        <w:gridCol w:w="1400"/>
        <w:gridCol w:w="2400"/>
        <w:gridCol w:w="1400"/>
      </w:tblGrid>
      <w:tr w:rsidR="00B43870">
        <w:trPr>
          <w:trHeight w:val="360"/>
        </w:trPr>
        <w:tc>
          <w:tcPr>
            <w:tcW w:w="2698" w:type="dxa"/>
            <w:tcBorders>
              <w:top w:val="single" w:sz="4" w:space="0" w:color="000000"/>
              <w:left w:val="single" w:sz="4" w:space="0" w:color="000000"/>
              <w:bottom w:val="single" w:sz="4" w:space="0" w:color="000000"/>
              <w:right w:val="single" w:sz="4" w:space="0" w:color="000000"/>
            </w:tcBorders>
            <w:shd w:val="clear" w:color="auto" w:fill="2F5496"/>
          </w:tcPr>
          <w:p w:rsidR="00B43870" w:rsidRDefault="00590DC3">
            <w:pPr>
              <w:spacing w:after="0" w:line="259" w:lineRule="auto"/>
              <w:ind w:left="0" w:firstLine="0"/>
            </w:pPr>
            <w:r>
              <w:rPr>
                <w:b/>
                <w:color w:val="FFFFFF"/>
              </w:rPr>
              <w:t>Model</w:t>
            </w:r>
          </w:p>
        </w:tc>
        <w:tc>
          <w:tcPr>
            <w:tcW w:w="1402" w:type="dxa"/>
            <w:tcBorders>
              <w:top w:val="single" w:sz="4" w:space="0" w:color="000000"/>
              <w:left w:val="single" w:sz="4" w:space="0" w:color="000000"/>
              <w:bottom w:val="single" w:sz="4" w:space="0" w:color="000000"/>
              <w:right w:val="single" w:sz="4" w:space="0" w:color="000000"/>
            </w:tcBorders>
            <w:shd w:val="clear" w:color="auto" w:fill="2F5496"/>
          </w:tcPr>
          <w:p w:rsidR="00B43870" w:rsidRDefault="00590DC3">
            <w:pPr>
              <w:spacing w:after="0" w:line="259" w:lineRule="auto"/>
              <w:ind w:left="1" w:firstLine="0"/>
            </w:pPr>
            <w:r>
              <w:rPr>
                <w:b/>
                <w:color w:val="FFFFFF"/>
              </w:rPr>
              <w:t>TN</w:t>
            </w:r>
          </w:p>
        </w:tc>
        <w:tc>
          <w:tcPr>
            <w:tcW w:w="1400" w:type="dxa"/>
            <w:tcBorders>
              <w:top w:val="single" w:sz="4" w:space="0" w:color="000000"/>
              <w:left w:val="single" w:sz="4" w:space="0" w:color="000000"/>
              <w:bottom w:val="single" w:sz="4" w:space="0" w:color="000000"/>
              <w:right w:val="single" w:sz="4" w:space="0" w:color="000000"/>
            </w:tcBorders>
            <w:shd w:val="clear" w:color="auto" w:fill="2F5496"/>
          </w:tcPr>
          <w:p w:rsidR="00B43870" w:rsidRDefault="00590DC3">
            <w:pPr>
              <w:spacing w:after="0" w:line="259" w:lineRule="auto"/>
              <w:ind w:left="0" w:firstLine="0"/>
            </w:pPr>
            <w:r>
              <w:rPr>
                <w:b/>
                <w:color w:val="FFFFFF"/>
              </w:rPr>
              <w:t>FP</w:t>
            </w:r>
          </w:p>
        </w:tc>
        <w:tc>
          <w:tcPr>
            <w:tcW w:w="2400" w:type="dxa"/>
            <w:tcBorders>
              <w:top w:val="single" w:sz="4" w:space="0" w:color="000000"/>
              <w:left w:val="single" w:sz="4" w:space="0" w:color="000000"/>
              <w:bottom w:val="single" w:sz="4" w:space="0" w:color="000000"/>
              <w:right w:val="single" w:sz="4" w:space="0" w:color="000000"/>
            </w:tcBorders>
            <w:shd w:val="clear" w:color="auto" w:fill="2F5496"/>
          </w:tcPr>
          <w:p w:rsidR="00B43870" w:rsidRDefault="00590DC3">
            <w:pPr>
              <w:spacing w:after="0" w:line="259" w:lineRule="auto"/>
              <w:ind w:left="0" w:firstLine="0"/>
            </w:pPr>
            <w:r>
              <w:rPr>
                <w:b/>
                <w:color w:val="FFFFFF"/>
              </w:rPr>
              <w:t>FN (missed defaults)</w:t>
            </w:r>
          </w:p>
        </w:tc>
        <w:tc>
          <w:tcPr>
            <w:tcW w:w="1400" w:type="dxa"/>
            <w:tcBorders>
              <w:top w:val="single" w:sz="4" w:space="0" w:color="000000"/>
              <w:left w:val="single" w:sz="4" w:space="0" w:color="000000"/>
              <w:bottom w:val="single" w:sz="4" w:space="0" w:color="000000"/>
              <w:right w:val="single" w:sz="4" w:space="0" w:color="000000"/>
            </w:tcBorders>
            <w:shd w:val="clear" w:color="auto" w:fill="2F5496"/>
          </w:tcPr>
          <w:p w:rsidR="00B43870" w:rsidRDefault="00590DC3">
            <w:pPr>
              <w:spacing w:after="0" w:line="259" w:lineRule="auto"/>
              <w:ind w:left="0" w:firstLine="0"/>
            </w:pPr>
            <w:r>
              <w:rPr>
                <w:b/>
                <w:color w:val="FFFFFF"/>
              </w:rPr>
              <w:t>TP</w:t>
            </w:r>
          </w:p>
        </w:tc>
      </w:tr>
      <w:tr w:rsidR="00B43870">
        <w:trPr>
          <w:trHeight w:val="362"/>
        </w:trPr>
        <w:tc>
          <w:tcPr>
            <w:tcW w:w="2698" w:type="dxa"/>
            <w:tcBorders>
              <w:top w:val="single" w:sz="4" w:space="0" w:color="000000"/>
              <w:left w:val="single" w:sz="4" w:space="0" w:color="000000"/>
              <w:bottom w:val="single" w:sz="4" w:space="0" w:color="000000"/>
              <w:right w:val="single" w:sz="4" w:space="0" w:color="000000"/>
            </w:tcBorders>
            <w:shd w:val="clear" w:color="auto" w:fill="F2F2F2"/>
          </w:tcPr>
          <w:p w:rsidR="00B43870" w:rsidRDefault="00590DC3">
            <w:pPr>
              <w:spacing w:after="0" w:line="259" w:lineRule="auto"/>
              <w:ind w:left="0" w:firstLine="0"/>
            </w:pPr>
            <w:r>
              <w:rPr>
                <w:b/>
              </w:rPr>
              <w:t>Logistic Regression</w:t>
            </w:r>
          </w:p>
        </w:tc>
        <w:tc>
          <w:tcPr>
            <w:tcW w:w="1402" w:type="dxa"/>
            <w:tcBorders>
              <w:top w:val="single" w:sz="4" w:space="0" w:color="000000"/>
              <w:left w:val="single" w:sz="4" w:space="0" w:color="000000"/>
              <w:bottom w:val="single" w:sz="4" w:space="0" w:color="000000"/>
              <w:right w:val="single" w:sz="4" w:space="0" w:color="000000"/>
            </w:tcBorders>
            <w:shd w:val="clear" w:color="auto" w:fill="F2F2F2"/>
          </w:tcPr>
          <w:p w:rsidR="00B43870" w:rsidRDefault="00590DC3">
            <w:pPr>
              <w:spacing w:after="0" w:line="259" w:lineRule="auto"/>
              <w:ind w:left="1" w:firstLine="0"/>
            </w:pPr>
            <w:r>
              <w:t>107</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Pr>
          <w:p w:rsidR="00B43870" w:rsidRDefault="00590DC3">
            <w:pPr>
              <w:spacing w:after="0" w:line="259" w:lineRule="auto"/>
              <w:ind w:left="0" w:firstLine="0"/>
            </w:pPr>
            <w:r>
              <w:t>14</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Pr>
          <w:p w:rsidR="00B43870" w:rsidRDefault="00590DC3">
            <w:pPr>
              <w:spacing w:after="0" w:line="259" w:lineRule="auto"/>
              <w:ind w:left="0" w:firstLine="0"/>
            </w:pPr>
            <w:r>
              <w:t>19</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Pr>
          <w:p w:rsidR="00B43870" w:rsidRDefault="00590DC3">
            <w:pPr>
              <w:spacing w:after="0" w:line="259" w:lineRule="auto"/>
              <w:ind w:left="0" w:firstLine="0"/>
            </w:pPr>
            <w:r>
              <w:t>60</w:t>
            </w:r>
          </w:p>
        </w:tc>
      </w:tr>
      <w:tr w:rsidR="00B43870">
        <w:trPr>
          <w:trHeight w:val="360"/>
        </w:trPr>
        <w:tc>
          <w:tcPr>
            <w:tcW w:w="2698"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rPr>
                <w:b/>
              </w:rPr>
              <w:t>Decision Tree</w:t>
            </w:r>
          </w:p>
        </w:tc>
        <w:tc>
          <w:tcPr>
            <w:tcW w:w="1402"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1" w:firstLine="0"/>
            </w:pPr>
            <w:r>
              <w:t>103</w:t>
            </w:r>
          </w:p>
        </w:tc>
        <w:tc>
          <w:tcPr>
            <w:tcW w:w="14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18</w:t>
            </w:r>
          </w:p>
        </w:tc>
        <w:tc>
          <w:tcPr>
            <w:tcW w:w="24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17</w:t>
            </w:r>
          </w:p>
        </w:tc>
        <w:tc>
          <w:tcPr>
            <w:tcW w:w="14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62</w:t>
            </w:r>
          </w:p>
        </w:tc>
      </w:tr>
      <w:tr w:rsidR="00B43870">
        <w:trPr>
          <w:trHeight w:val="362"/>
        </w:trPr>
        <w:tc>
          <w:tcPr>
            <w:tcW w:w="2698" w:type="dxa"/>
            <w:tcBorders>
              <w:top w:val="single" w:sz="4" w:space="0" w:color="000000"/>
              <w:left w:val="single" w:sz="4" w:space="0" w:color="000000"/>
              <w:bottom w:val="single" w:sz="4" w:space="0" w:color="000000"/>
              <w:right w:val="single" w:sz="4" w:space="0" w:color="000000"/>
            </w:tcBorders>
            <w:shd w:val="clear" w:color="auto" w:fill="F2F2F2"/>
          </w:tcPr>
          <w:p w:rsidR="00B43870" w:rsidRDefault="00590DC3">
            <w:pPr>
              <w:spacing w:after="0" w:line="259" w:lineRule="auto"/>
              <w:ind w:left="0" w:firstLine="0"/>
            </w:pPr>
            <w:r>
              <w:rPr>
                <w:b/>
              </w:rPr>
              <w:t>Random Forest (tuned)</w:t>
            </w:r>
          </w:p>
        </w:tc>
        <w:tc>
          <w:tcPr>
            <w:tcW w:w="1402" w:type="dxa"/>
            <w:tcBorders>
              <w:top w:val="single" w:sz="4" w:space="0" w:color="000000"/>
              <w:left w:val="single" w:sz="4" w:space="0" w:color="000000"/>
              <w:bottom w:val="single" w:sz="4" w:space="0" w:color="000000"/>
              <w:right w:val="single" w:sz="4" w:space="0" w:color="000000"/>
            </w:tcBorders>
            <w:shd w:val="clear" w:color="auto" w:fill="F2F2F2"/>
          </w:tcPr>
          <w:p w:rsidR="00B43870" w:rsidRDefault="00590DC3">
            <w:pPr>
              <w:spacing w:after="0" w:line="259" w:lineRule="auto"/>
              <w:ind w:left="1" w:firstLine="0"/>
            </w:pPr>
            <w:r>
              <w:t>115</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Pr>
          <w:p w:rsidR="00B43870" w:rsidRDefault="00590DC3">
            <w:pPr>
              <w:spacing w:after="0" w:line="259" w:lineRule="auto"/>
              <w:ind w:left="0" w:firstLine="0"/>
            </w:pPr>
            <w:r>
              <w:t>6</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Pr>
          <w:p w:rsidR="00B43870" w:rsidRDefault="00590DC3">
            <w:pPr>
              <w:spacing w:after="0" w:line="259" w:lineRule="auto"/>
              <w:ind w:left="0" w:firstLine="0"/>
            </w:pPr>
            <w:r>
              <w:t>24</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Pr>
          <w:p w:rsidR="00B43870" w:rsidRDefault="00590DC3">
            <w:pPr>
              <w:spacing w:after="0" w:line="259" w:lineRule="auto"/>
              <w:ind w:left="0" w:firstLine="0"/>
            </w:pPr>
            <w:r>
              <w:t>55</w:t>
            </w:r>
          </w:p>
        </w:tc>
      </w:tr>
      <w:tr w:rsidR="00B43870">
        <w:trPr>
          <w:trHeight w:val="360"/>
        </w:trPr>
        <w:tc>
          <w:tcPr>
            <w:tcW w:w="2698" w:type="dxa"/>
            <w:tcBorders>
              <w:top w:val="single" w:sz="4" w:space="0" w:color="000000"/>
              <w:left w:val="single" w:sz="4" w:space="0" w:color="000000"/>
              <w:bottom w:val="single" w:sz="4" w:space="0" w:color="000000"/>
              <w:right w:val="single" w:sz="4" w:space="0" w:color="000000"/>
            </w:tcBorders>
            <w:shd w:val="clear" w:color="auto" w:fill="D9E2F3"/>
          </w:tcPr>
          <w:p w:rsidR="00B43870" w:rsidRDefault="00590DC3">
            <w:pPr>
              <w:spacing w:after="0" w:line="259" w:lineRule="auto"/>
              <w:ind w:left="0" w:firstLine="0"/>
            </w:pPr>
            <w:proofErr w:type="spellStart"/>
            <w:r>
              <w:rPr>
                <w:b/>
              </w:rPr>
              <w:t>XGBoost</w:t>
            </w:r>
            <w:proofErr w:type="spellEnd"/>
            <w:r>
              <w:rPr>
                <w:b/>
              </w:rPr>
              <w:t xml:space="preserve"> (tuned)</w:t>
            </w:r>
          </w:p>
        </w:tc>
        <w:tc>
          <w:tcPr>
            <w:tcW w:w="1402" w:type="dxa"/>
            <w:tcBorders>
              <w:top w:val="single" w:sz="4" w:space="0" w:color="000000"/>
              <w:left w:val="single" w:sz="4" w:space="0" w:color="000000"/>
              <w:bottom w:val="single" w:sz="4" w:space="0" w:color="000000"/>
              <w:right w:val="single" w:sz="4" w:space="0" w:color="000000"/>
            </w:tcBorders>
            <w:shd w:val="clear" w:color="auto" w:fill="D9E2F3"/>
          </w:tcPr>
          <w:p w:rsidR="00B43870" w:rsidRDefault="00590DC3">
            <w:pPr>
              <w:spacing w:after="0" w:line="259" w:lineRule="auto"/>
              <w:ind w:left="1" w:firstLine="0"/>
            </w:pPr>
            <w:r>
              <w:t>110</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Pr>
          <w:p w:rsidR="00B43870" w:rsidRDefault="00590DC3">
            <w:pPr>
              <w:spacing w:after="0" w:line="259" w:lineRule="auto"/>
              <w:ind w:left="0" w:firstLine="0"/>
            </w:pPr>
            <w:r>
              <w:t>11</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Pr>
          <w:p w:rsidR="00B43870" w:rsidRDefault="00590DC3">
            <w:pPr>
              <w:spacing w:after="0" w:line="259" w:lineRule="auto"/>
              <w:ind w:left="0" w:firstLine="0"/>
            </w:pPr>
            <w:r>
              <w:t>14</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Pr>
          <w:p w:rsidR="00B43870" w:rsidRDefault="00590DC3">
            <w:pPr>
              <w:spacing w:after="0" w:line="259" w:lineRule="auto"/>
              <w:ind w:left="0" w:firstLine="0"/>
            </w:pPr>
            <w:r>
              <w:t>65</w:t>
            </w:r>
          </w:p>
        </w:tc>
      </w:tr>
    </w:tbl>
    <w:p w:rsidR="00B43870" w:rsidRDefault="00590DC3">
      <w:pPr>
        <w:spacing w:after="70" w:line="259" w:lineRule="auto"/>
        <w:ind w:left="1813" w:firstLine="0"/>
      </w:pPr>
      <w:r>
        <w:rPr>
          <w:noProof/>
        </w:rPr>
        <w:drawing>
          <wp:inline distT="0" distB="0" distL="0" distR="0">
            <wp:extent cx="4095750" cy="3400425"/>
            <wp:effectExtent l="0" t="0" r="0" b="0"/>
            <wp:docPr id="361" name="Picture 361"/>
            <wp:cNvGraphicFramePr/>
            <a:graphic xmlns:a="http://schemas.openxmlformats.org/drawingml/2006/main">
              <a:graphicData uri="http://schemas.openxmlformats.org/drawingml/2006/picture">
                <pic:pic xmlns:pic="http://schemas.openxmlformats.org/drawingml/2006/picture">
                  <pic:nvPicPr>
                    <pic:cNvPr id="361" name="Picture 361"/>
                    <pic:cNvPicPr/>
                  </pic:nvPicPr>
                  <pic:blipFill>
                    <a:blip r:embed="rId14"/>
                    <a:stretch>
                      <a:fillRect/>
                    </a:stretch>
                  </pic:blipFill>
                  <pic:spPr>
                    <a:xfrm>
                      <a:off x="0" y="0"/>
                      <a:ext cx="4095750" cy="3400425"/>
                    </a:xfrm>
                    <a:prstGeom prst="rect">
                      <a:avLst/>
                    </a:prstGeom>
                  </pic:spPr>
                </pic:pic>
              </a:graphicData>
            </a:graphic>
          </wp:inline>
        </w:drawing>
      </w:r>
    </w:p>
    <w:p w:rsidR="00B43870" w:rsidRDefault="00590DC3">
      <w:pPr>
        <w:spacing w:after="207" w:line="259" w:lineRule="auto"/>
        <w:ind w:right="12"/>
        <w:jc w:val="center"/>
      </w:pPr>
      <w:r>
        <w:rPr>
          <w:i/>
          <w:color w:val="555555"/>
        </w:rPr>
        <w:t>Figure 8. Confusion matrices for all 4 models (test set, n=200).</w:t>
      </w:r>
    </w:p>
    <w:p w:rsidR="00B43870" w:rsidRDefault="00590DC3">
      <w:pPr>
        <w:spacing w:after="295"/>
      </w:pPr>
      <w:r>
        <w:t>Random Forest has the fewest false positives (6) but the most missed defaulters (24 of 79 actual bad-risk cases). It is the most cautious of the four models about flagging an application as high risk, and given the cost asymmetry discussed in Section 5, th</w:t>
      </w:r>
      <w:r>
        <w:t xml:space="preserve">at turns out to be the wrong kind of caution. </w:t>
      </w:r>
      <w:proofErr w:type="spellStart"/>
      <w:r>
        <w:t>XGBoost</w:t>
      </w:r>
      <w:proofErr w:type="spellEnd"/>
      <w:r>
        <w:t xml:space="preserve"> misses the fewest defaulters of any model, at 14 of 79.</w:t>
      </w:r>
    </w:p>
    <w:p w:rsidR="00B43870" w:rsidRDefault="00590DC3">
      <w:pPr>
        <w:pStyle w:val="Heading2"/>
        <w:ind w:left="418" w:hanging="433"/>
      </w:pPr>
      <w:r>
        <w:lastRenderedPageBreak/>
        <w:t>ROC Curves</w:t>
      </w:r>
    </w:p>
    <w:p w:rsidR="00B43870" w:rsidRDefault="00590DC3">
      <w:pPr>
        <w:spacing w:after="70" w:line="259" w:lineRule="auto"/>
        <w:ind w:left="2488" w:firstLine="0"/>
      </w:pPr>
      <w:r>
        <w:rPr>
          <w:noProof/>
        </w:rPr>
        <w:drawing>
          <wp:inline distT="0" distB="0" distL="0" distR="0">
            <wp:extent cx="3238500" cy="2771775"/>
            <wp:effectExtent l="0" t="0" r="0" b="0"/>
            <wp:docPr id="369" name="Picture 369"/>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15"/>
                    <a:stretch>
                      <a:fillRect/>
                    </a:stretch>
                  </pic:blipFill>
                  <pic:spPr>
                    <a:xfrm>
                      <a:off x="0" y="0"/>
                      <a:ext cx="3238500" cy="2771775"/>
                    </a:xfrm>
                    <a:prstGeom prst="rect">
                      <a:avLst/>
                    </a:prstGeom>
                  </pic:spPr>
                </pic:pic>
              </a:graphicData>
            </a:graphic>
          </wp:inline>
        </w:drawing>
      </w:r>
    </w:p>
    <w:p w:rsidR="00B43870" w:rsidRDefault="00590DC3">
      <w:pPr>
        <w:spacing w:after="207" w:line="259" w:lineRule="auto"/>
        <w:ind w:right="9"/>
        <w:jc w:val="center"/>
      </w:pPr>
      <w:r>
        <w:rPr>
          <w:i/>
          <w:color w:val="555555"/>
        </w:rPr>
        <w:t>Figure 9. ROC curves, all 4 models.</w:t>
      </w:r>
    </w:p>
    <w:p w:rsidR="00B43870" w:rsidRDefault="00590DC3">
      <w:proofErr w:type="spellStart"/>
      <w:r>
        <w:t>XGBoost</w:t>
      </w:r>
      <w:proofErr w:type="spellEnd"/>
      <w:r>
        <w:t xml:space="preserve"> leads on AUC-ROC (0.953), followed by Random Forest (0.938) and Logistic Regression (0.925), with Decision Tree well behind at 0.818. The Decision Tree's visibly more angular curve reflects a structural property of single trees (a small number of d</w:t>
      </w:r>
      <w:r>
        <w:t xml:space="preserve">istinct leaf probabilities) rather than a </w:t>
      </w:r>
      <w:proofErr w:type="spellStart"/>
      <w:r>
        <w:t>modeling</w:t>
      </w:r>
      <w:proofErr w:type="spellEnd"/>
      <w:r>
        <w:t xml:space="preserve"> error.</w:t>
      </w:r>
    </w:p>
    <w:p w:rsidR="00B43870" w:rsidRDefault="00590DC3">
      <w:pPr>
        <w:pStyle w:val="Heading2"/>
        <w:ind w:left="418" w:hanging="433"/>
      </w:pPr>
      <w:r>
        <w:t>Feature Importance</w:t>
      </w:r>
    </w:p>
    <w:p w:rsidR="00B43870" w:rsidRDefault="00590DC3">
      <w:pPr>
        <w:spacing w:after="70" w:line="259" w:lineRule="auto"/>
        <w:ind w:left="1363" w:firstLine="0"/>
      </w:pPr>
      <w:r>
        <w:rPr>
          <w:noProof/>
        </w:rPr>
        <w:drawing>
          <wp:inline distT="0" distB="0" distL="0" distR="0">
            <wp:extent cx="4667250" cy="1381125"/>
            <wp:effectExtent l="0" t="0" r="0" b="0"/>
            <wp:docPr id="407" name="Picture 407"/>
            <wp:cNvGraphicFramePr/>
            <a:graphic xmlns:a="http://schemas.openxmlformats.org/drawingml/2006/main">
              <a:graphicData uri="http://schemas.openxmlformats.org/drawingml/2006/picture">
                <pic:pic xmlns:pic="http://schemas.openxmlformats.org/drawingml/2006/picture">
                  <pic:nvPicPr>
                    <pic:cNvPr id="407" name="Picture 407"/>
                    <pic:cNvPicPr/>
                  </pic:nvPicPr>
                  <pic:blipFill>
                    <a:blip r:embed="rId16"/>
                    <a:stretch>
                      <a:fillRect/>
                    </a:stretch>
                  </pic:blipFill>
                  <pic:spPr>
                    <a:xfrm>
                      <a:off x="0" y="0"/>
                      <a:ext cx="4667250" cy="1381125"/>
                    </a:xfrm>
                    <a:prstGeom prst="rect">
                      <a:avLst/>
                    </a:prstGeom>
                  </pic:spPr>
                </pic:pic>
              </a:graphicData>
            </a:graphic>
          </wp:inline>
        </w:drawing>
      </w:r>
    </w:p>
    <w:p w:rsidR="00B43870" w:rsidRDefault="00590DC3">
      <w:pPr>
        <w:spacing w:after="207" w:line="259" w:lineRule="auto"/>
        <w:ind w:right="11"/>
        <w:jc w:val="center"/>
      </w:pPr>
      <w:r>
        <w:rPr>
          <w:i/>
          <w:color w:val="555555"/>
        </w:rPr>
        <w:t xml:space="preserve">Figure 10. Top 10 feature importance: Decision Tree, Random Forest, </w:t>
      </w:r>
      <w:proofErr w:type="spellStart"/>
      <w:r>
        <w:rPr>
          <w:i/>
          <w:color w:val="555555"/>
        </w:rPr>
        <w:t>XGBoost</w:t>
      </w:r>
      <w:proofErr w:type="spellEnd"/>
      <w:r>
        <w:rPr>
          <w:i/>
          <w:color w:val="555555"/>
        </w:rPr>
        <w:t>.</w:t>
      </w:r>
    </w:p>
    <w:p w:rsidR="00B43870" w:rsidRDefault="00590DC3">
      <w:pPr>
        <w:spacing w:after="295"/>
      </w:pPr>
      <w:r>
        <w:t xml:space="preserve">Job, an income and skill-level proxy that was not examined directly in the original EDA, turns out to be the single strongest predictor for both Random Forest and </w:t>
      </w:r>
      <w:proofErr w:type="spellStart"/>
      <w:r>
        <w:t>XGBoost</w:t>
      </w:r>
      <w:proofErr w:type="spellEnd"/>
      <w:r>
        <w:t>, ahead of Credit amount and Duration. This does not contradict the EDA boxplots in Fi</w:t>
      </w:r>
      <w:r>
        <w:t xml:space="preserve">gure 3: those show univariate separation, while tree-based importance reflects each feature's contribution once the others are already accounted for. The engineered </w:t>
      </w:r>
      <w:proofErr w:type="spellStart"/>
      <w:r>
        <w:t>Account_Stability</w:t>
      </w:r>
      <w:proofErr w:type="spellEnd"/>
      <w:r>
        <w:t xml:space="preserve"> feature ranks in the top three for all three tree models, which is a conc</w:t>
      </w:r>
      <w:r>
        <w:t>rete validation of that feature engineering choice.</w:t>
      </w:r>
    </w:p>
    <w:p w:rsidR="00B43870" w:rsidRDefault="00590DC3">
      <w:pPr>
        <w:pStyle w:val="Heading2"/>
        <w:ind w:left="418" w:hanging="433"/>
      </w:pPr>
      <w:r>
        <w:lastRenderedPageBreak/>
        <w:t>Precision-Recall Curve and Threshold Analysis</w:t>
      </w:r>
    </w:p>
    <w:p w:rsidR="00B43870" w:rsidRDefault="00590DC3">
      <w:pPr>
        <w:spacing w:after="70" w:line="259" w:lineRule="auto"/>
        <w:ind w:left="2488" w:firstLine="0"/>
      </w:pPr>
      <w:r>
        <w:rPr>
          <w:noProof/>
        </w:rPr>
        <w:drawing>
          <wp:inline distT="0" distB="0" distL="0" distR="0">
            <wp:extent cx="3238500" cy="2771775"/>
            <wp:effectExtent l="0" t="0" r="0" b="0"/>
            <wp:docPr id="417" name="Picture 417"/>
            <wp:cNvGraphicFramePr/>
            <a:graphic xmlns:a="http://schemas.openxmlformats.org/drawingml/2006/main">
              <a:graphicData uri="http://schemas.openxmlformats.org/drawingml/2006/picture">
                <pic:pic xmlns:pic="http://schemas.openxmlformats.org/drawingml/2006/picture">
                  <pic:nvPicPr>
                    <pic:cNvPr id="417" name="Picture 417"/>
                    <pic:cNvPicPr/>
                  </pic:nvPicPr>
                  <pic:blipFill>
                    <a:blip r:embed="rId17"/>
                    <a:stretch>
                      <a:fillRect/>
                    </a:stretch>
                  </pic:blipFill>
                  <pic:spPr>
                    <a:xfrm>
                      <a:off x="0" y="0"/>
                      <a:ext cx="3238500" cy="2771775"/>
                    </a:xfrm>
                    <a:prstGeom prst="rect">
                      <a:avLst/>
                    </a:prstGeom>
                  </pic:spPr>
                </pic:pic>
              </a:graphicData>
            </a:graphic>
          </wp:inline>
        </w:drawing>
      </w:r>
    </w:p>
    <w:p w:rsidR="00B43870" w:rsidRDefault="00590DC3">
      <w:pPr>
        <w:spacing w:after="207" w:line="259" w:lineRule="auto"/>
        <w:ind w:right="12"/>
        <w:jc w:val="center"/>
      </w:pPr>
      <w:r>
        <w:rPr>
          <w:i/>
          <w:color w:val="555555"/>
        </w:rPr>
        <w:t xml:space="preserve">Figure 11. Precision-Recall curve for </w:t>
      </w:r>
      <w:proofErr w:type="spellStart"/>
      <w:r>
        <w:rPr>
          <w:i/>
          <w:color w:val="555555"/>
        </w:rPr>
        <w:t>XGBoost</w:t>
      </w:r>
      <w:proofErr w:type="spellEnd"/>
      <w:r>
        <w:rPr>
          <w:i/>
          <w:color w:val="555555"/>
        </w:rPr>
        <w:t xml:space="preserve"> (best model by F1).</w:t>
      </w:r>
    </w:p>
    <w:p w:rsidR="00B43870" w:rsidRDefault="00590DC3">
      <w:pPr>
        <w:spacing w:after="25"/>
      </w:pPr>
      <w:r>
        <w:t>Since the 75% recall requirement is as much a decision-threshold question as a model-choic</w:t>
      </w:r>
      <w:r>
        <w:t xml:space="preserve">e question, classification thresholds from 0.10 to 0.90 were scanned on </w:t>
      </w:r>
      <w:proofErr w:type="spellStart"/>
      <w:r>
        <w:t>XGBoost's</w:t>
      </w:r>
      <w:proofErr w:type="spellEnd"/>
      <w:r>
        <w:t xml:space="preserve"> predicted probabilities:</w:t>
      </w:r>
    </w:p>
    <w:tbl>
      <w:tblPr>
        <w:tblStyle w:val="TableGrid"/>
        <w:tblW w:w="8000" w:type="dxa"/>
        <w:tblInd w:w="4" w:type="dxa"/>
        <w:tblCellMar>
          <w:top w:w="73" w:type="dxa"/>
          <w:left w:w="101" w:type="dxa"/>
          <w:bottom w:w="0" w:type="dxa"/>
          <w:right w:w="115" w:type="dxa"/>
        </w:tblCellMar>
        <w:tblLook w:val="04A0" w:firstRow="1" w:lastRow="0" w:firstColumn="1" w:lastColumn="0" w:noHBand="0" w:noVBand="1"/>
      </w:tblPr>
      <w:tblGrid>
        <w:gridCol w:w="2000"/>
        <w:gridCol w:w="2000"/>
        <w:gridCol w:w="2000"/>
        <w:gridCol w:w="2000"/>
      </w:tblGrid>
      <w:tr w:rsidR="00B43870">
        <w:trPr>
          <w:trHeight w:val="359"/>
        </w:trPr>
        <w:tc>
          <w:tcPr>
            <w:tcW w:w="2000" w:type="dxa"/>
            <w:tcBorders>
              <w:top w:val="single" w:sz="4" w:space="0" w:color="000000"/>
              <w:left w:val="single" w:sz="4" w:space="0" w:color="000000"/>
              <w:bottom w:val="single" w:sz="4" w:space="0" w:color="000000"/>
              <w:right w:val="single" w:sz="4" w:space="0" w:color="000000"/>
            </w:tcBorders>
            <w:shd w:val="clear" w:color="auto" w:fill="2F5496"/>
          </w:tcPr>
          <w:p w:rsidR="00B43870" w:rsidRDefault="00590DC3">
            <w:pPr>
              <w:spacing w:after="0" w:line="259" w:lineRule="auto"/>
              <w:ind w:left="0" w:firstLine="0"/>
            </w:pPr>
            <w:r>
              <w:rPr>
                <w:b/>
                <w:color w:val="FFFFFF"/>
              </w:rPr>
              <w:t>Threshold</w:t>
            </w:r>
          </w:p>
        </w:tc>
        <w:tc>
          <w:tcPr>
            <w:tcW w:w="2000" w:type="dxa"/>
            <w:tcBorders>
              <w:top w:val="single" w:sz="4" w:space="0" w:color="000000"/>
              <w:left w:val="single" w:sz="4" w:space="0" w:color="000000"/>
              <w:bottom w:val="single" w:sz="4" w:space="0" w:color="000000"/>
              <w:right w:val="single" w:sz="4" w:space="0" w:color="000000"/>
            </w:tcBorders>
            <w:shd w:val="clear" w:color="auto" w:fill="2F5496"/>
          </w:tcPr>
          <w:p w:rsidR="00B43870" w:rsidRDefault="00590DC3">
            <w:pPr>
              <w:spacing w:after="0" w:line="259" w:lineRule="auto"/>
              <w:ind w:left="0" w:firstLine="0"/>
            </w:pPr>
            <w:r>
              <w:rPr>
                <w:b/>
                <w:color w:val="FFFFFF"/>
              </w:rPr>
              <w:t>Precision</w:t>
            </w:r>
          </w:p>
        </w:tc>
        <w:tc>
          <w:tcPr>
            <w:tcW w:w="2000" w:type="dxa"/>
            <w:tcBorders>
              <w:top w:val="single" w:sz="4" w:space="0" w:color="000000"/>
              <w:left w:val="single" w:sz="4" w:space="0" w:color="000000"/>
              <w:bottom w:val="single" w:sz="4" w:space="0" w:color="000000"/>
              <w:right w:val="single" w:sz="4" w:space="0" w:color="000000"/>
            </w:tcBorders>
            <w:shd w:val="clear" w:color="auto" w:fill="2F5496"/>
          </w:tcPr>
          <w:p w:rsidR="00B43870" w:rsidRDefault="00590DC3">
            <w:pPr>
              <w:spacing w:after="0" w:line="259" w:lineRule="auto"/>
              <w:ind w:left="0" w:firstLine="0"/>
            </w:pPr>
            <w:r>
              <w:rPr>
                <w:b/>
                <w:color w:val="FFFFFF"/>
              </w:rPr>
              <w:t>Recall</w:t>
            </w:r>
          </w:p>
        </w:tc>
        <w:tc>
          <w:tcPr>
            <w:tcW w:w="2000" w:type="dxa"/>
            <w:tcBorders>
              <w:top w:val="single" w:sz="4" w:space="0" w:color="000000"/>
              <w:left w:val="single" w:sz="4" w:space="0" w:color="000000"/>
              <w:bottom w:val="single" w:sz="4" w:space="0" w:color="000000"/>
              <w:right w:val="single" w:sz="4" w:space="0" w:color="000000"/>
            </w:tcBorders>
            <w:shd w:val="clear" w:color="auto" w:fill="2F5496"/>
          </w:tcPr>
          <w:p w:rsidR="00B43870" w:rsidRDefault="00590DC3">
            <w:pPr>
              <w:spacing w:after="0" w:line="259" w:lineRule="auto"/>
              <w:ind w:left="0" w:firstLine="0"/>
            </w:pPr>
            <w:r>
              <w:rPr>
                <w:b/>
                <w:color w:val="FFFFFF"/>
              </w:rPr>
              <w:t>F1</w:t>
            </w:r>
          </w:p>
        </w:tc>
      </w:tr>
      <w:tr w:rsidR="00B43870">
        <w:trPr>
          <w:trHeight w:val="364"/>
        </w:trPr>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0.10</w:t>
            </w:r>
          </w:p>
        </w:tc>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0.690</w:t>
            </w:r>
          </w:p>
        </w:tc>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0.987</w:t>
            </w:r>
          </w:p>
        </w:tc>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0.812</w:t>
            </w:r>
          </w:p>
        </w:tc>
      </w:tr>
      <w:tr w:rsidR="00B43870">
        <w:trPr>
          <w:trHeight w:val="360"/>
        </w:trPr>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0.20</w:t>
            </w:r>
          </w:p>
        </w:tc>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0.771</w:t>
            </w:r>
          </w:p>
        </w:tc>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0.937</w:t>
            </w:r>
          </w:p>
        </w:tc>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0.846</w:t>
            </w:r>
          </w:p>
        </w:tc>
      </w:tr>
      <w:tr w:rsidR="00B43870">
        <w:trPr>
          <w:trHeight w:val="362"/>
        </w:trPr>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0.30</w:t>
            </w:r>
          </w:p>
        </w:tc>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0.778</w:t>
            </w:r>
          </w:p>
        </w:tc>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0.886</w:t>
            </w:r>
          </w:p>
        </w:tc>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0.828</w:t>
            </w:r>
          </w:p>
        </w:tc>
      </w:tr>
      <w:tr w:rsidR="00B43870">
        <w:trPr>
          <w:trHeight w:val="359"/>
        </w:trPr>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0.40</w:t>
            </w:r>
          </w:p>
        </w:tc>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0.840</w:t>
            </w:r>
          </w:p>
        </w:tc>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0.861</w:t>
            </w:r>
          </w:p>
        </w:tc>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0.850</w:t>
            </w:r>
          </w:p>
        </w:tc>
      </w:tr>
      <w:tr w:rsidR="00B43870">
        <w:trPr>
          <w:trHeight w:val="362"/>
        </w:trPr>
        <w:tc>
          <w:tcPr>
            <w:tcW w:w="2000" w:type="dxa"/>
            <w:tcBorders>
              <w:top w:val="single" w:sz="4" w:space="0" w:color="000000"/>
              <w:left w:val="single" w:sz="4" w:space="0" w:color="000000"/>
              <w:bottom w:val="single" w:sz="4" w:space="0" w:color="000000"/>
              <w:right w:val="single" w:sz="4" w:space="0" w:color="000000"/>
            </w:tcBorders>
            <w:shd w:val="clear" w:color="auto" w:fill="C6E0B4"/>
          </w:tcPr>
          <w:p w:rsidR="00B43870" w:rsidRDefault="00590DC3">
            <w:pPr>
              <w:spacing w:after="0" w:line="259" w:lineRule="auto"/>
              <w:ind w:left="0" w:firstLine="0"/>
            </w:pPr>
            <w:r>
              <w:rPr>
                <w:b/>
              </w:rPr>
              <w:t>0.45</w:t>
            </w:r>
          </w:p>
        </w:tc>
        <w:tc>
          <w:tcPr>
            <w:tcW w:w="2000" w:type="dxa"/>
            <w:tcBorders>
              <w:top w:val="single" w:sz="4" w:space="0" w:color="000000"/>
              <w:left w:val="single" w:sz="4" w:space="0" w:color="000000"/>
              <w:bottom w:val="single" w:sz="4" w:space="0" w:color="000000"/>
              <w:right w:val="single" w:sz="4" w:space="0" w:color="000000"/>
            </w:tcBorders>
            <w:shd w:val="clear" w:color="auto" w:fill="C6E0B4"/>
          </w:tcPr>
          <w:p w:rsidR="00B43870" w:rsidRDefault="00590DC3">
            <w:pPr>
              <w:spacing w:after="0" w:line="259" w:lineRule="auto"/>
              <w:ind w:left="0" w:firstLine="0"/>
            </w:pPr>
            <w:r>
              <w:rPr>
                <w:b/>
              </w:rPr>
              <w:t>0.859</w:t>
            </w:r>
          </w:p>
        </w:tc>
        <w:tc>
          <w:tcPr>
            <w:tcW w:w="2000" w:type="dxa"/>
            <w:tcBorders>
              <w:top w:val="single" w:sz="4" w:space="0" w:color="000000"/>
              <w:left w:val="single" w:sz="4" w:space="0" w:color="000000"/>
              <w:bottom w:val="single" w:sz="4" w:space="0" w:color="000000"/>
              <w:right w:val="single" w:sz="4" w:space="0" w:color="000000"/>
            </w:tcBorders>
            <w:shd w:val="clear" w:color="auto" w:fill="C6E0B4"/>
          </w:tcPr>
          <w:p w:rsidR="00B43870" w:rsidRDefault="00590DC3">
            <w:pPr>
              <w:spacing w:after="0" w:line="259" w:lineRule="auto"/>
              <w:ind w:left="0" w:firstLine="0"/>
            </w:pPr>
            <w:r>
              <w:rPr>
                <w:b/>
              </w:rPr>
              <w:t>0.848</w:t>
            </w:r>
          </w:p>
        </w:tc>
        <w:tc>
          <w:tcPr>
            <w:tcW w:w="2000" w:type="dxa"/>
            <w:tcBorders>
              <w:top w:val="single" w:sz="4" w:space="0" w:color="000000"/>
              <w:left w:val="single" w:sz="4" w:space="0" w:color="000000"/>
              <w:bottom w:val="single" w:sz="4" w:space="0" w:color="000000"/>
              <w:right w:val="single" w:sz="4" w:space="0" w:color="000000"/>
            </w:tcBorders>
            <w:shd w:val="clear" w:color="auto" w:fill="C6E0B4"/>
          </w:tcPr>
          <w:p w:rsidR="00B43870" w:rsidRDefault="00590DC3">
            <w:pPr>
              <w:spacing w:after="0" w:line="259" w:lineRule="auto"/>
              <w:ind w:left="0" w:firstLine="0"/>
            </w:pPr>
            <w:r>
              <w:rPr>
                <w:b/>
              </w:rPr>
              <w:t>0.854</w:t>
            </w:r>
          </w:p>
        </w:tc>
      </w:tr>
      <w:tr w:rsidR="00B43870">
        <w:trPr>
          <w:trHeight w:val="360"/>
        </w:trPr>
        <w:tc>
          <w:tcPr>
            <w:tcW w:w="2000" w:type="dxa"/>
            <w:tcBorders>
              <w:top w:val="single" w:sz="4" w:space="0" w:color="000000"/>
              <w:left w:val="single" w:sz="4" w:space="0" w:color="000000"/>
              <w:bottom w:val="single" w:sz="4" w:space="0" w:color="000000"/>
              <w:right w:val="single" w:sz="4" w:space="0" w:color="000000"/>
            </w:tcBorders>
            <w:shd w:val="clear" w:color="auto" w:fill="FFF2CC"/>
          </w:tcPr>
          <w:p w:rsidR="00B43870" w:rsidRDefault="00590DC3">
            <w:pPr>
              <w:spacing w:after="0" w:line="259" w:lineRule="auto"/>
              <w:ind w:left="0" w:firstLine="0"/>
            </w:pPr>
            <w:r>
              <w:t>0.50</w:t>
            </w:r>
          </w:p>
        </w:tc>
        <w:tc>
          <w:tcPr>
            <w:tcW w:w="2000" w:type="dxa"/>
            <w:tcBorders>
              <w:top w:val="single" w:sz="4" w:space="0" w:color="000000"/>
              <w:left w:val="single" w:sz="4" w:space="0" w:color="000000"/>
              <w:bottom w:val="single" w:sz="4" w:space="0" w:color="000000"/>
              <w:right w:val="single" w:sz="4" w:space="0" w:color="000000"/>
            </w:tcBorders>
            <w:shd w:val="clear" w:color="auto" w:fill="FFF2CC"/>
          </w:tcPr>
          <w:p w:rsidR="00B43870" w:rsidRDefault="00590DC3">
            <w:pPr>
              <w:spacing w:after="0" w:line="259" w:lineRule="auto"/>
              <w:ind w:left="0" w:firstLine="0"/>
            </w:pPr>
            <w:r>
              <w:t>0.855</w:t>
            </w:r>
          </w:p>
        </w:tc>
        <w:tc>
          <w:tcPr>
            <w:tcW w:w="2000" w:type="dxa"/>
            <w:tcBorders>
              <w:top w:val="single" w:sz="4" w:space="0" w:color="000000"/>
              <w:left w:val="single" w:sz="4" w:space="0" w:color="000000"/>
              <w:bottom w:val="single" w:sz="4" w:space="0" w:color="000000"/>
              <w:right w:val="single" w:sz="4" w:space="0" w:color="000000"/>
            </w:tcBorders>
            <w:shd w:val="clear" w:color="auto" w:fill="FFF2CC"/>
          </w:tcPr>
          <w:p w:rsidR="00B43870" w:rsidRDefault="00590DC3">
            <w:pPr>
              <w:spacing w:after="0" w:line="259" w:lineRule="auto"/>
              <w:ind w:left="0" w:firstLine="0"/>
            </w:pPr>
            <w:r>
              <w:t>0.823</w:t>
            </w:r>
          </w:p>
        </w:tc>
        <w:tc>
          <w:tcPr>
            <w:tcW w:w="2000" w:type="dxa"/>
            <w:tcBorders>
              <w:top w:val="single" w:sz="4" w:space="0" w:color="000000"/>
              <w:left w:val="single" w:sz="4" w:space="0" w:color="000000"/>
              <w:bottom w:val="single" w:sz="4" w:space="0" w:color="000000"/>
              <w:right w:val="single" w:sz="4" w:space="0" w:color="000000"/>
            </w:tcBorders>
            <w:shd w:val="clear" w:color="auto" w:fill="FFF2CC"/>
          </w:tcPr>
          <w:p w:rsidR="00B43870" w:rsidRDefault="00590DC3">
            <w:pPr>
              <w:spacing w:after="0" w:line="259" w:lineRule="auto"/>
              <w:ind w:left="0" w:firstLine="0"/>
            </w:pPr>
            <w:r>
              <w:t>0.839</w:t>
            </w:r>
          </w:p>
        </w:tc>
      </w:tr>
      <w:tr w:rsidR="00B43870">
        <w:trPr>
          <w:trHeight w:val="364"/>
        </w:trPr>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0.55</w:t>
            </w:r>
          </w:p>
        </w:tc>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0.884</w:t>
            </w:r>
          </w:p>
        </w:tc>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0.772</w:t>
            </w:r>
          </w:p>
        </w:tc>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0.824</w:t>
            </w:r>
          </w:p>
        </w:tc>
      </w:tr>
      <w:tr w:rsidR="00B43870">
        <w:trPr>
          <w:trHeight w:val="360"/>
        </w:trPr>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0.60</w:t>
            </w:r>
          </w:p>
        </w:tc>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0.908</w:t>
            </w:r>
          </w:p>
        </w:tc>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0.747</w:t>
            </w:r>
          </w:p>
        </w:tc>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0.819</w:t>
            </w:r>
          </w:p>
        </w:tc>
      </w:tr>
      <w:tr w:rsidR="00B43870">
        <w:trPr>
          <w:trHeight w:val="361"/>
        </w:trPr>
        <w:tc>
          <w:tcPr>
            <w:tcW w:w="2000" w:type="dxa"/>
            <w:tcBorders>
              <w:top w:val="single" w:sz="4" w:space="0" w:color="000000"/>
              <w:left w:val="single" w:sz="4" w:space="0" w:color="000000"/>
              <w:bottom w:val="single" w:sz="4" w:space="0" w:color="000000"/>
              <w:right w:val="single" w:sz="4" w:space="0" w:color="000000"/>
            </w:tcBorders>
            <w:shd w:val="clear" w:color="auto" w:fill="2F5496"/>
          </w:tcPr>
          <w:p w:rsidR="00B43870" w:rsidRDefault="00590DC3">
            <w:pPr>
              <w:spacing w:after="0" w:line="259" w:lineRule="auto"/>
              <w:ind w:left="0" w:firstLine="0"/>
            </w:pPr>
            <w:r>
              <w:rPr>
                <w:b/>
                <w:color w:val="FFFFFF"/>
              </w:rPr>
              <w:t>Threshold</w:t>
            </w:r>
          </w:p>
        </w:tc>
        <w:tc>
          <w:tcPr>
            <w:tcW w:w="2000" w:type="dxa"/>
            <w:tcBorders>
              <w:top w:val="single" w:sz="4" w:space="0" w:color="000000"/>
              <w:left w:val="single" w:sz="4" w:space="0" w:color="000000"/>
              <w:bottom w:val="single" w:sz="4" w:space="0" w:color="000000"/>
              <w:right w:val="single" w:sz="4" w:space="0" w:color="000000"/>
            </w:tcBorders>
            <w:shd w:val="clear" w:color="auto" w:fill="2F5496"/>
          </w:tcPr>
          <w:p w:rsidR="00B43870" w:rsidRDefault="00590DC3">
            <w:pPr>
              <w:spacing w:after="0" w:line="259" w:lineRule="auto"/>
              <w:ind w:left="0" w:firstLine="0"/>
            </w:pPr>
            <w:r>
              <w:rPr>
                <w:b/>
                <w:color w:val="FFFFFF"/>
              </w:rPr>
              <w:t>Precision</w:t>
            </w:r>
          </w:p>
        </w:tc>
        <w:tc>
          <w:tcPr>
            <w:tcW w:w="2000" w:type="dxa"/>
            <w:tcBorders>
              <w:top w:val="single" w:sz="4" w:space="0" w:color="000000"/>
              <w:left w:val="single" w:sz="4" w:space="0" w:color="000000"/>
              <w:bottom w:val="single" w:sz="4" w:space="0" w:color="000000"/>
              <w:right w:val="single" w:sz="4" w:space="0" w:color="000000"/>
            </w:tcBorders>
            <w:shd w:val="clear" w:color="auto" w:fill="2F5496"/>
          </w:tcPr>
          <w:p w:rsidR="00B43870" w:rsidRDefault="00590DC3">
            <w:pPr>
              <w:spacing w:after="0" w:line="259" w:lineRule="auto"/>
              <w:ind w:left="0" w:firstLine="0"/>
            </w:pPr>
            <w:r>
              <w:rPr>
                <w:b/>
                <w:color w:val="FFFFFF"/>
              </w:rPr>
              <w:t>Recall</w:t>
            </w:r>
          </w:p>
        </w:tc>
        <w:tc>
          <w:tcPr>
            <w:tcW w:w="2000" w:type="dxa"/>
            <w:tcBorders>
              <w:top w:val="single" w:sz="4" w:space="0" w:color="000000"/>
              <w:left w:val="single" w:sz="4" w:space="0" w:color="000000"/>
              <w:bottom w:val="single" w:sz="4" w:space="0" w:color="000000"/>
              <w:right w:val="single" w:sz="4" w:space="0" w:color="000000"/>
            </w:tcBorders>
            <w:shd w:val="clear" w:color="auto" w:fill="2F5496"/>
          </w:tcPr>
          <w:p w:rsidR="00B43870" w:rsidRDefault="00590DC3">
            <w:pPr>
              <w:spacing w:after="0" w:line="259" w:lineRule="auto"/>
              <w:ind w:left="0" w:firstLine="0"/>
            </w:pPr>
            <w:r>
              <w:rPr>
                <w:b/>
                <w:color w:val="FFFFFF"/>
              </w:rPr>
              <w:t>F1</w:t>
            </w:r>
          </w:p>
        </w:tc>
      </w:tr>
      <w:tr w:rsidR="00B43870">
        <w:trPr>
          <w:trHeight w:val="362"/>
        </w:trPr>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0.70</w:t>
            </w:r>
          </w:p>
        </w:tc>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0.915</w:t>
            </w:r>
          </w:p>
        </w:tc>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0.684</w:t>
            </w:r>
          </w:p>
        </w:tc>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0.783</w:t>
            </w:r>
          </w:p>
        </w:tc>
      </w:tr>
      <w:tr w:rsidR="00B43870">
        <w:trPr>
          <w:trHeight w:val="362"/>
        </w:trPr>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0.80</w:t>
            </w:r>
          </w:p>
        </w:tc>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0.958</w:t>
            </w:r>
          </w:p>
        </w:tc>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0.582</w:t>
            </w:r>
          </w:p>
        </w:tc>
        <w:tc>
          <w:tcPr>
            <w:tcW w:w="2000" w:type="dxa"/>
            <w:tcBorders>
              <w:top w:val="single" w:sz="4" w:space="0" w:color="000000"/>
              <w:left w:val="single" w:sz="4" w:space="0" w:color="000000"/>
              <w:bottom w:val="single" w:sz="4" w:space="0" w:color="000000"/>
              <w:right w:val="single" w:sz="4" w:space="0" w:color="000000"/>
            </w:tcBorders>
          </w:tcPr>
          <w:p w:rsidR="00B43870" w:rsidRDefault="00590DC3">
            <w:pPr>
              <w:spacing w:after="0" w:line="259" w:lineRule="auto"/>
              <w:ind w:left="0" w:firstLine="0"/>
            </w:pPr>
            <w:r>
              <w:t>0.724</w:t>
            </w:r>
          </w:p>
        </w:tc>
      </w:tr>
    </w:tbl>
    <w:p w:rsidR="00B43870" w:rsidRDefault="00590DC3">
      <w:r>
        <w:t>The selection rule was to maximize F1 among thresholds that clear 75% recall, rather than simply maximizing precision among them. A precision-only rule would pick a threshold sitting right at the edge of the recall requirement (0.55, for 77.2% recall), lea</w:t>
      </w:r>
      <w:r>
        <w:t>ving little safety margin against future model drift. Threshold 0.45, highlighted above, achieves the best F1 in the entire scan (0.854) while keeping a healthier recall margin of 84.8% above the 75% floor.</w:t>
      </w:r>
      <w:r>
        <w:br w:type="page"/>
      </w:r>
    </w:p>
    <w:p w:rsidR="00B43870" w:rsidRDefault="00590DC3">
      <w:pPr>
        <w:pStyle w:val="Heading1"/>
        <w:ind w:left="340" w:hanging="355"/>
      </w:pPr>
      <w:r>
        <w:lastRenderedPageBreak/>
        <w:t>Business Recommendations</w:t>
      </w:r>
    </w:p>
    <w:p w:rsidR="00B43870" w:rsidRDefault="00590DC3">
      <w:pPr>
        <w:pStyle w:val="Heading2"/>
        <w:ind w:left="418" w:hanging="433"/>
      </w:pPr>
      <w:r>
        <w:t>Which metric matters mo</w:t>
      </w:r>
      <w:r>
        <w:t>st, and why</w:t>
      </w:r>
    </w:p>
    <w:p w:rsidR="00B43870" w:rsidRDefault="00590DC3">
      <w:pPr>
        <w:spacing w:after="295"/>
      </w:pPr>
      <w:r>
        <w:t>Recall on the "bad" (default) class matters most. Accuracy is misleading given the roughly 60/40 class imbalance: a model that rarely predicts "bad" can still post high accuracy while missing most real defaulters, which is exactly the failure m</w:t>
      </w:r>
      <w:r>
        <w:t>ode the business can least afford.</w:t>
      </w:r>
    </w:p>
    <w:p w:rsidR="00B43870" w:rsidRDefault="00590DC3">
      <w:pPr>
        <w:pStyle w:val="Heading2"/>
        <w:ind w:left="418" w:hanging="433"/>
      </w:pPr>
      <w:r>
        <w:t>Cost asymmetry: false positives versus false negatives</w:t>
      </w:r>
    </w:p>
    <w:p w:rsidR="00B43870" w:rsidRDefault="00590DC3">
      <w:pPr>
        <w:spacing w:after="295"/>
      </w:pPr>
      <w:r>
        <w:t>The two error types are not comparable in cost. A false negative, approving an applicant who later defaults, risks the full loan principal plus lost interest. A false</w:t>
      </w:r>
      <w:r>
        <w:t xml:space="preserve"> positive, rejecting an applicant who would have repaid, only costs the foregone profit margin on that one loan, since the applicant can seek credit elsewhere. This asymmetry is why the brief sets a recall floor rather than an accuracy or precision target,</w:t>
      </w:r>
      <w:r>
        <w:t xml:space="preserve"> and why recall, not precision, is the metric that should not be compromised below 75%.</w:t>
      </w:r>
    </w:p>
    <w:p w:rsidR="00B43870" w:rsidRDefault="00590DC3">
      <w:pPr>
        <w:pStyle w:val="Heading2"/>
        <w:ind w:left="418" w:hanging="433"/>
      </w:pPr>
      <w:r>
        <w:t>Recommended model and threshold</w:t>
      </w:r>
    </w:p>
    <w:p w:rsidR="00B43870" w:rsidRDefault="00590DC3">
      <w:pPr>
        <w:spacing w:after="118"/>
      </w:pPr>
      <w:r>
        <w:rPr>
          <w:b/>
        </w:rPr>
        <w:t xml:space="preserve">Recommendation: </w:t>
      </w:r>
      <w:proofErr w:type="spellStart"/>
      <w:r>
        <w:rPr>
          <w:b/>
        </w:rPr>
        <w:t>XGBoost</w:t>
      </w:r>
      <w:proofErr w:type="spellEnd"/>
      <w:r>
        <w:rPr>
          <w:b/>
        </w:rPr>
        <w:t xml:space="preserve"> (tuned), decision threshold 0.45. </w:t>
      </w:r>
      <w:r>
        <w:t xml:space="preserve">This model leads on every metric measured: accuracy, recall, F1, and AUC-ROC. </w:t>
      </w:r>
      <w:r>
        <w:t>At threshold 0.45 it delivers 84.8% recall, a healthy margin above the 75% floor, at 85.9% precision, the best F1 balance available in the threshold scan.</w:t>
      </w:r>
    </w:p>
    <w:p w:rsidR="00B43870" w:rsidRDefault="00590DC3">
      <w:pPr>
        <w:spacing w:after="118"/>
      </w:pPr>
      <w:r>
        <w:t>Random Forest, despite having the highest precision of any model (0.902 tuned), is disqualified: both</w:t>
      </w:r>
      <w:r>
        <w:t xml:space="preserve"> its baseline and tuned versions fail the hard 75% recall requirement outright, at 70.9% and 69.6% respectively. A model that cannot meet the business's stated risk tolerance is not a production candidate, regardless of its other strengths.</w:t>
      </w:r>
    </w:p>
    <w:p w:rsidR="00B43870" w:rsidRDefault="00590DC3">
      <w:pPr>
        <w:spacing w:after="112"/>
      </w:pPr>
      <w:r>
        <w:t>Justification against the brief's four required criteria:</w:t>
      </w:r>
    </w:p>
    <w:p w:rsidR="00B43870" w:rsidRDefault="00590DC3">
      <w:pPr>
        <w:numPr>
          <w:ilvl w:val="0"/>
          <w:numId w:val="4"/>
        </w:numPr>
        <w:ind w:hanging="360"/>
      </w:pPr>
      <w:r>
        <w:t xml:space="preserve">Performance: </w:t>
      </w:r>
      <w:proofErr w:type="spellStart"/>
      <w:r>
        <w:t>XGBoost</w:t>
      </w:r>
      <w:proofErr w:type="spellEnd"/>
      <w:r>
        <w:t xml:space="preserve"> is the only model with clear, comfortable headroom above the 75% recall requirement at a deliberately chosen threshold.</w:t>
      </w:r>
    </w:p>
    <w:p w:rsidR="00B43870" w:rsidRDefault="00590DC3">
      <w:pPr>
        <w:numPr>
          <w:ilvl w:val="0"/>
          <w:numId w:val="4"/>
        </w:numPr>
        <w:ind w:hanging="360"/>
      </w:pPr>
      <w:r>
        <w:t xml:space="preserve">Interpretability for regulatory compliance: </w:t>
      </w:r>
      <w:proofErr w:type="spellStart"/>
      <w:r>
        <w:t>XGBoost</w:t>
      </w:r>
      <w:proofErr w:type="spellEnd"/>
      <w:r>
        <w:t xml:space="preserve"> is no</w:t>
      </w:r>
      <w:r>
        <w:t>t as directly interpretable as Logistic Regression's coefficients, but feature importance (Figure 10) gives a defensible, auditable explanation of what drives its predictions.</w:t>
      </w:r>
    </w:p>
    <w:p w:rsidR="00B43870" w:rsidRDefault="00590DC3">
      <w:pPr>
        <w:numPr>
          <w:ilvl w:val="0"/>
          <w:numId w:val="4"/>
        </w:numPr>
        <w:ind w:hanging="360"/>
      </w:pPr>
      <w:r>
        <w:t>Inference speed: all four models predict a single application in milliseconds at</w:t>
      </w:r>
      <w:r>
        <w:t xml:space="preserve"> this dataset's scale, so none is a bottleneck against the sub-one-second requirement.</w:t>
      </w:r>
    </w:p>
    <w:p w:rsidR="00B43870" w:rsidRDefault="00590DC3">
      <w:pPr>
        <w:numPr>
          <w:ilvl w:val="0"/>
          <w:numId w:val="4"/>
        </w:numPr>
        <w:spacing w:after="25"/>
        <w:ind w:hanging="360"/>
      </w:pPr>
      <w:r>
        <w:t xml:space="preserve">Maintenance complexity: </w:t>
      </w:r>
      <w:proofErr w:type="spellStart"/>
      <w:r>
        <w:t>XGBoost</w:t>
      </w:r>
      <w:proofErr w:type="spellEnd"/>
      <w:r>
        <w:t xml:space="preserve"> requires more care around versioning and drift monitoring than Logistic </w:t>
      </w:r>
    </w:p>
    <w:p w:rsidR="00B43870" w:rsidRDefault="00590DC3">
      <w:pPr>
        <w:spacing w:after="0" w:line="259" w:lineRule="auto"/>
        <w:ind w:left="0" w:right="21" w:firstLine="0"/>
        <w:jc w:val="right"/>
      </w:pPr>
      <w:r>
        <w:t>Regression, but the recall improvement justifies that added oper</w:t>
      </w:r>
      <w:r>
        <w:t>ational cost given the cost asymmetry in Section 5.2.</w:t>
      </w:r>
    </w:p>
    <w:p w:rsidR="00B43870" w:rsidRDefault="00590DC3">
      <w:pPr>
        <w:pStyle w:val="Heading1"/>
        <w:ind w:left="340" w:hanging="355"/>
      </w:pPr>
      <w:r>
        <w:t>Deployment Considerations</w:t>
      </w:r>
    </w:p>
    <w:p w:rsidR="00B43870" w:rsidRDefault="00590DC3">
      <w:pPr>
        <w:pStyle w:val="Heading2"/>
        <w:ind w:left="418" w:hanging="433"/>
      </w:pPr>
      <w:r>
        <w:t>Infrastructure</w:t>
      </w:r>
    </w:p>
    <w:p w:rsidR="00B43870" w:rsidRDefault="00590DC3">
      <w:pPr>
        <w:spacing w:after="295"/>
      </w:pPr>
      <w:r>
        <w:t xml:space="preserve">Containerize the model, with </w:t>
      </w:r>
      <w:proofErr w:type="spellStart"/>
      <w:r>
        <w:t>FastAPI</w:t>
      </w:r>
      <w:proofErr w:type="spellEnd"/>
      <w:r>
        <w:t xml:space="preserve"> serving the pickled </w:t>
      </w:r>
      <w:proofErr w:type="spellStart"/>
      <w:r>
        <w:t>XGBoost</w:t>
      </w:r>
      <w:proofErr w:type="spellEnd"/>
      <w:r>
        <w:t xml:space="preserve"> model through </w:t>
      </w:r>
      <w:proofErr w:type="spellStart"/>
      <w:r>
        <w:t>Gunicorn</w:t>
      </w:r>
      <w:proofErr w:type="spellEnd"/>
      <w:r>
        <w:t xml:space="preserve"> or </w:t>
      </w:r>
      <w:proofErr w:type="spellStart"/>
      <w:r>
        <w:t>Uvicorn</w:t>
      </w:r>
      <w:proofErr w:type="spellEnd"/>
      <w:r>
        <w:t xml:space="preserve"> workers. Host it on a managed platform: AWS Lambda for low or </w:t>
      </w:r>
      <w:r>
        <w:t>spiky traffic, or a small Kubernetes or ECS service for steadier traffic. Either option comfortably meets the sub-one-second inference requirement at this model's scale.</w:t>
      </w:r>
    </w:p>
    <w:p w:rsidR="00B43870" w:rsidRDefault="00590DC3">
      <w:pPr>
        <w:pStyle w:val="Heading2"/>
        <w:ind w:left="418" w:hanging="433"/>
      </w:pPr>
      <w:r>
        <w:t>API Design</w:t>
      </w:r>
    </w:p>
    <w:p w:rsidR="00B43870" w:rsidRDefault="00590DC3">
      <w:pPr>
        <w:numPr>
          <w:ilvl w:val="0"/>
          <w:numId w:val="5"/>
        </w:numPr>
        <w:ind w:hanging="360"/>
      </w:pPr>
      <w:r>
        <w:t xml:space="preserve">POST /predict accepts a JSON payload of applicant features (Age, Sex, Job, </w:t>
      </w:r>
      <w:r>
        <w:t>Housing, account status, Credit amount, Duration, Purpose).</w:t>
      </w:r>
    </w:p>
    <w:p w:rsidR="00B43870" w:rsidRDefault="00590DC3">
      <w:pPr>
        <w:numPr>
          <w:ilvl w:val="0"/>
          <w:numId w:val="5"/>
        </w:numPr>
        <w:ind w:hanging="360"/>
      </w:pPr>
      <w:r>
        <w:t xml:space="preserve">Response: </w:t>
      </w:r>
      <w:proofErr w:type="gramStart"/>
      <w:r>
        <w:t>{ "</w:t>
      </w:r>
      <w:proofErr w:type="spellStart"/>
      <w:proofErr w:type="gramEnd"/>
      <w:r>
        <w:t>risk_probability</w:t>
      </w:r>
      <w:proofErr w:type="spellEnd"/>
      <w:r>
        <w:t>": 0.83, "prediction": "bad", "</w:t>
      </w:r>
      <w:proofErr w:type="spellStart"/>
      <w:r>
        <w:t>threshold_used</w:t>
      </w:r>
      <w:proofErr w:type="spellEnd"/>
      <w:r>
        <w:t>": 0.45 }</w:t>
      </w:r>
    </w:p>
    <w:p w:rsidR="00B43870" w:rsidRDefault="00590DC3">
      <w:pPr>
        <w:numPr>
          <w:ilvl w:val="0"/>
          <w:numId w:val="5"/>
        </w:numPr>
        <w:spacing w:after="294"/>
        <w:ind w:hanging="360"/>
      </w:pPr>
      <w:r>
        <w:t>Input validation rejects out-of-range values, such as negative age or duration, and unrecognized categorical val</w:t>
      </w:r>
      <w:r>
        <w:t>ues, and the expected schema is versioned so upstream changes do not silently break scoring.</w:t>
      </w:r>
    </w:p>
    <w:p w:rsidR="00B43870" w:rsidRDefault="00590DC3">
      <w:pPr>
        <w:pStyle w:val="Heading2"/>
        <w:ind w:left="418" w:hanging="433"/>
      </w:pPr>
      <w:r>
        <w:t>Performance Monitoring</w:t>
      </w:r>
    </w:p>
    <w:p w:rsidR="00B43870" w:rsidRDefault="00590DC3">
      <w:pPr>
        <w:numPr>
          <w:ilvl w:val="0"/>
          <w:numId w:val="6"/>
        </w:numPr>
        <w:ind w:hanging="360"/>
      </w:pPr>
      <w:r>
        <w:t>Track API latency (p50/p95) against the sub-one-second requirement.</w:t>
      </w:r>
    </w:p>
    <w:p w:rsidR="00B43870" w:rsidRDefault="00590DC3">
      <w:pPr>
        <w:numPr>
          <w:ilvl w:val="0"/>
          <w:numId w:val="6"/>
        </w:numPr>
        <w:ind w:hanging="360"/>
      </w:pPr>
      <w:r>
        <w:t>Track realized recall and precision once loan outcomes are known, at loa</w:t>
      </w:r>
      <w:r>
        <w:t>n term completion, not just at deployment time.</w:t>
      </w:r>
    </w:p>
    <w:p w:rsidR="00B43870" w:rsidRDefault="00590DC3">
      <w:pPr>
        <w:numPr>
          <w:ilvl w:val="0"/>
          <w:numId w:val="6"/>
        </w:numPr>
        <w:spacing w:after="294"/>
        <w:ind w:hanging="360"/>
      </w:pPr>
      <w:r>
        <w:lastRenderedPageBreak/>
        <w:t>Alert if realized recall drifts meaningfully below the 75% target over a rolling window.</w:t>
      </w:r>
    </w:p>
    <w:p w:rsidR="00B43870" w:rsidRDefault="00590DC3">
      <w:pPr>
        <w:pStyle w:val="Heading2"/>
        <w:ind w:left="418" w:hanging="433"/>
      </w:pPr>
      <w:r>
        <w:t>Data Drift Detection</w:t>
      </w:r>
    </w:p>
    <w:p w:rsidR="00B43870" w:rsidRDefault="00590DC3">
      <w:pPr>
        <w:numPr>
          <w:ilvl w:val="0"/>
          <w:numId w:val="7"/>
        </w:numPr>
        <w:ind w:hanging="360"/>
      </w:pPr>
      <w:r>
        <w:t>Compare incoming applicant feature distributions against the training distribution on a regular cadence, for example weekly, using a tool such as Evidently AI or a per-feature KS-test.</w:t>
      </w:r>
    </w:p>
    <w:p w:rsidR="00B43870" w:rsidRDefault="00590DC3">
      <w:pPr>
        <w:numPr>
          <w:ilvl w:val="0"/>
          <w:numId w:val="7"/>
        </w:numPr>
        <w:spacing w:after="294"/>
        <w:ind w:hanging="360"/>
      </w:pPr>
      <w:r>
        <w:t xml:space="preserve">Watch particularly for shifts in Job, </w:t>
      </w:r>
      <w:proofErr w:type="spellStart"/>
      <w:r>
        <w:t>Account_Stability</w:t>
      </w:r>
      <w:proofErr w:type="spellEnd"/>
      <w:r>
        <w:t>, Credit amount,</w:t>
      </w:r>
      <w:r>
        <w:t xml:space="preserve"> and Duration, the features identified as most predictive in Section 4.4.</w:t>
      </w:r>
    </w:p>
    <w:p w:rsidR="00B43870" w:rsidRDefault="00590DC3">
      <w:pPr>
        <w:pStyle w:val="Heading2"/>
        <w:ind w:left="418" w:hanging="433"/>
      </w:pPr>
      <w:r>
        <w:t>Retraining Strategy</w:t>
      </w:r>
    </w:p>
    <w:p w:rsidR="00B43870" w:rsidRDefault="00590DC3">
      <w:pPr>
        <w:numPr>
          <w:ilvl w:val="0"/>
          <w:numId w:val="8"/>
        </w:numPr>
        <w:ind w:hanging="360"/>
      </w:pPr>
      <w:r>
        <w:t xml:space="preserve">Scheduled retraining, for example quarterly, on newly </w:t>
      </w:r>
      <w:proofErr w:type="spellStart"/>
      <w:r>
        <w:t>labeled</w:t>
      </w:r>
      <w:proofErr w:type="spellEnd"/>
      <w:r>
        <w:t xml:space="preserve"> data from completed loans with known outcomes.</w:t>
      </w:r>
    </w:p>
    <w:p w:rsidR="00B43870" w:rsidRDefault="00590DC3">
      <w:pPr>
        <w:numPr>
          <w:ilvl w:val="0"/>
          <w:numId w:val="8"/>
        </w:numPr>
        <w:spacing w:after="294"/>
        <w:ind w:hanging="360"/>
      </w:pPr>
      <w:r>
        <w:t>Triggered retraining if drift monitoring crosses a defined threshold, rather than waiting for the next scheduled cycle.</w:t>
      </w:r>
    </w:p>
    <w:p w:rsidR="00B43870" w:rsidRDefault="00590DC3">
      <w:pPr>
        <w:pStyle w:val="Heading2"/>
        <w:ind w:left="418" w:hanging="433"/>
      </w:pPr>
      <w:r>
        <w:t>A/B Testing Approach</w:t>
      </w:r>
    </w:p>
    <w:p w:rsidR="00B43870" w:rsidRDefault="00590DC3">
      <w:pPr>
        <w:numPr>
          <w:ilvl w:val="0"/>
          <w:numId w:val="9"/>
        </w:numPr>
        <w:ind w:hanging="360"/>
      </w:pPr>
      <w:r>
        <w:t xml:space="preserve">Shadow mode first: route a percentage of applications through the new model without acting on its predictions, and </w:t>
      </w:r>
      <w:r>
        <w:t>compare against actual outcomes.</w:t>
      </w:r>
    </w:p>
    <w:p w:rsidR="00B43870" w:rsidRDefault="00590DC3">
      <w:pPr>
        <w:numPr>
          <w:ilvl w:val="0"/>
          <w:numId w:val="9"/>
        </w:numPr>
        <w:spacing w:after="294"/>
        <w:ind w:hanging="360"/>
      </w:pPr>
      <w:r>
        <w:t>Ramp gradually, from shadow to partial live traffic to full rollout, keeping the ability to roll back quickly if realized recall or business metrics regress.</w:t>
      </w:r>
    </w:p>
    <w:p w:rsidR="00B43870" w:rsidRDefault="00590DC3">
      <w:pPr>
        <w:pStyle w:val="Heading2"/>
        <w:ind w:left="418" w:hanging="433"/>
      </w:pPr>
      <w:r>
        <w:t>Potential Challenges</w:t>
      </w:r>
    </w:p>
    <w:p w:rsidR="00B43870" w:rsidRDefault="00590DC3">
      <w:pPr>
        <w:numPr>
          <w:ilvl w:val="0"/>
          <w:numId w:val="10"/>
        </w:numPr>
        <w:ind w:hanging="360"/>
      </w:pPr>
      <w:r>
        <w:t xml:space="preserve">Regulatory scrutiny of an ensemble model's </w:t>
      </w:r>
      <w:proofErr w:type="spellStart"/>
      <w:r>
        <w:t>e</w:t>
      </w:r>
      <w:r>
        <w:t>xplainability</w:t>
      </w:r>
      <w:proofErr w:type="spellEnd"/>
      <w:r>
        <w:t xml:space="preserve"> may call for supplementing feature importance with instance-level explanations, such as SHAP, for individual adjudication decisions.</w:t>
      </w:r>
    </w:p>
    <w:p w:rsidR="00B43870" w:rsidRDefault="00590DC3">
      <w:pPr>
        <w:numPr>
          <w:ilvl w:val="0"/>
          <w:numId w:val="10"/>
        </w:numPr>
        <w:ind w:hanging="360"/>
      </w:pPr>
      <w:r>
        <w:t>The near-zero feature correlations observed in the EDA (Figure 4) may not hold as the applicant population sh</w:t>
      </w:r>
      <w:r>
        <w:t>ifts over time, which could change which engineered features remain useful.</w:t>
      </w:r>
    </w:p>
    <w:p w:rsidR="00B43870" w:rsidRDefault="00590DC3">
      <w:pPr>
        <w:numPr>
          <w:ilvl w:val="0"/>
          <w:numId w:val="10"/>
        </w:numPr>
        <w:ind w:hanging="360"/>
      </w:pPr>
      <w:r>
        <w:t>The chosen threshold of 0.45 was optimized against the current test set. It should be revisited whenever the model is retrained, rather than assumed to remain optimal indefinitely.</w:t>
      </w:r>
    </w:p>
    <w:p w:rsidR="00B43870" w:rsidRDefault="00590DC3">
      <w:pPr>
        <w:pStyle w:val="Heading1"/>
        <w:spacing w:after="0"/>
        <w:ind w:left="340" w:hanging="355"/>
      </w:pPr>
      <w:r>
        <w:t>Conclusion and Future Work</w:t>
      </w:r>
    </w:p>
    <w:p w:rsidR="00B43870" w:rsidRDefault="00590DC3">
      <w:pPr>
        <w:spacing w:after="112"/>
      </w:pPr>
      <w:r>
        <w:t xml:space="preserve">This project built a complete machine learning pipeline for credit risk classification, tracked and reproducible from raw data through to a production-ready model recommendation. </w:t>
      </w:r>
      <w:proofErr w:type="spellStart"/>
      <w:r>
        <w:t>XGBoost</w:t>
      </w:r>
      <w:proofErr w:type="spellEnd"/>
      <w:r>
        <w:t xml:space="preserve"> (tuned), deployed at a 0.45 decision thre</w:t>
      </w:r>
      <w:r>
        <w:t xml:space="preserve">shold, meets </w:t>
      </w:r>
      <w:proofErr w:type="spellStart"/>
      <w:r>
        <w:t>FinTech</w:t>
      </w:r>
      <w:proofErr w:type="spellEnd"/>
      <w:r>
        <w:t xml:space="preserve"> Solutions Inc.'s 75% recall requirement with a healthy margin while remaining explainable and fast enough for </w:t>
      </w:r>
      <w:proofErr w:type="spellStart"/>
      <w:r>
        <w:t>realtime</w:t>
      </w:r>
      <w:proofErr w:type="spellEnd"/>
      <w:r>
        <w:t xml:space="preserve"> use. Key learnings:</w:t>
      </w:r>
    </w:p>
    <w:p w:rsidR="00B43870" w:rsidRDefault="00590DC3">
      <w:pPr>
        <w:numPr>
          <w:ilvl w:val="0"/>
          <w:numId w:val="11"/>
        </w:numPr>
        <w:ind w:hanging="360"/>
      </w:pPr>
      <w:proofErr w:type="spellStart"/>
      <w:r>
        <w:t>Hyperparameter</w:t>
      </w:r>
      <w:proofErr w:type="spellEnd"/>
      <w:r>
        <w:t xml:space="preserve"> tuning does not uniformly improve every metric. Random Forest's tuning traded recall for precision, a real and reportable trade-off rather than an error.</w:t>
      </w:r>
    </w:p>
    <w:p w:rsidR="00B43870" w:rsidRDefault="00590DC3">
      <w:pPr>
        <w:numPr>
          <w:ilvl w:val="0"/>
          <w:numId w:val="11"/>
        </w:numPr>
        <w:ind w:hanging="360"/>
      </w:pPr>
      <w:r>
        <w:t>Feature importance surfaced a predictor, Job, that univariate EDA alone did not flag as</w:t>
      </w:r>
      <w:r>
        <w:t xml:space="preserve"> important. That gap shows the value of running both analyses rather than relying on EDA alone.</w:t>
      </w:r>
    </w:p>
    <w:p w:rsidR="00B43870" w:rsidRDefault="00590DC3">
      <w:pPr>
        <w:numPr>
          <w:ilvl w:val="0"/>
          <w:numId w:val="11"/>
        </w:numPr>
        <w:spacing w:after="112"/>
        <w:ind w:hanging="360"/>
      </w:pPr>
      <w:r>
        <w:t xml:space="preserve">Threshold selection matters as much as model selection. The naive rule of maximizing precision subject to the recall floor would have picked a threshold with a </w:t>
      </w:r>
      <w:r>
        <w:t>thin safety margin against future drift. Suggestions for future work:</w:t>
      </w:r>
    </w:p>
    <w:p w:rsidR="00B43870" w:rsidRDefault="00590DC3">
      <w:pPr>
        <w:numPr>
          <w:ilvl w:val="0"/>
          <w:numId w:val="11"/>
        </w:numPr>
        <w:ind w:hanging="360"/>
      </w:pPr>
      <w:r>
        <w:t>Add a dedicated Job-</w:t>
      </w:r>
      <w:proofErr w:type="gramStart"/>
      <w:r>
        <w:t>vs</w:t>
      </w:r>
      <w:proofErr w:type="gramEnd"/>
      <w:r>
        <w:t xml:space="preserve">-Risk EDA visualization, since Job emerged as the top predictor during </w:t>
      </w:r>
      <w:proofErr w:type="spellStart"/>
      <w:r>
        <w:t>modeling</w:t>
      </w:r>
      <w:proofErr w:type="spellEnd"/>
      <w:r>
        <w:t xml:space="preserve"> despite not being examined directly during EDA.</w:t>
      </w:r>
    </w:p>
    <w:p w:rsidR="00B43870" w:rsidRDefault="00590DC3">
      <w:pPr>
        <w:numPr>
          <w:ilvl w:val="0"/>
          <w:numId w:val="11"/>
        </w:numPr>
        <w:ind w:hanging="360"/>
      </w:pPr>
      <w:r>
        <w:t>Explore SHAP values for instance-lev</w:t>
      </w:r>
      <w:r>
        <w:t>el explanations, which would strengthen the regulatory-compliance case for deploying an ensemble model.</w:t>
      </w:r>
    </w:p>
    <w:p w:rsidR="00B43870" w:rsidRDefault="00590DC3">
      <w:pPr>
        <w:numPr>
          <w:ilvl w:val="0"/>
          <w:numId w:val="11"/>
        </w:numPr>
        <w:ind w:hanging="360"/>
      </w:pPr>
      <w:r>
        <w:t>Test threshold stability across simulated population shifts before committing to 0.45 as a long-term production setting.</w:t>
      </w:r>
    </w:p>
    <w:p w:rsidR="00B43870" w:rsidRDefault="00590DC3">
      <w:pPr>
        <w:numPr>
          <w:ilvl w:val="0"/>
          <w:numId w:val="11"/>
        </w:numPr>
        <w:ind w:hanging="360"/>
      </w:pPr>
      <w:r>
        <w:t>Extend feature engineering with</w:t>
      </w:r>
      <w:r>
        <w:t xml:space="preserve"> the two candidates identified but not yet implemented: a </w:t>
      </w:r>
      <w:proofErr w:type="spellStart"/>
      <w:r>
        <w:t>No_Financial_Account</w:t>
      </w:r>
      <w:proofErr w:type="spellEnd"/>
      <w:r>
        <w:t xml:space="preserve"> flag and a Job-adjusted loan burden ratio.</w:t>
      </w:r>
      <w:r>
        <w:br w:type="page"/>
      </w:r>
    </w:p>
    <w:p w:rsidR="00B43870" w:rsidRDefault="00590DC3">
      <w:pPr>
        <w:pStyle w:val="Heading1"/>
        <w:ind w:left="340" w:hanging="355"/>
      </w:pPr>
      <w:r>
        <w:lastRenderedPageBreak/>
        <w:t>Appendix</w:t>
      </w:r>
    </w:p>
    <w:p w:rsidR="00B43870" w:rsidRDefault="00590DC3">
      <w:pPr>
        <w:pStyle w:val="Heading2"/>
        <w:numPr>
          <w:ilvl w:val="0"/>
          <w:numId w:val="0"/>
        </w:numPr>
        <w:ind w:left="-5"/>
      </w:pPr>
      <w:r>
        <w:t xml:space="preserve">Google </w:t>
      </w:r>
      <w:proofErr w:type="spellStart"/>
      <w:r>
        <w:t>Colab</w:t>
      </w:r>
      <w:proofErr w:type="spellEnd"/>
      <w:r>
        <w:t xml:space="preserve"> Notebook Links</w:t>
      </w:r>
    </w:p>
    <w:p w:rsidR="00B43870" w:rsidRDefault="00590DC3">
      <w:pPr>
        <w:spacing w:after="112"/>
      </w:pPr>
      <w:r>
        <w:t>Insert your shared "Anyone with the link can view" links here before submission:</w:t>
      </w:r>
    </w:p>
    <w:p w:rsidR="00B43870" w:rsidRDefault="00590DC3" w:rsidP="00CC6F0F">
      <w:pPr>
        <w:numPr>
          <w:ilvl w:val="0"/>
          <w:numId w:val="12"/>
        </w:numPr>
        <w:ind w:hanging="360"/>
      </w:pPr>
      <w:r>
        <w:t>Notebook 1, EDA</w:t>
      </w:r>
      <w:r w:rsidR="00CC6F0F">
        <w:t xml:space="preserve"> and </w:t>
      </w:r>
      <w:proofErr w:type="spellStart"/>
      <w:r w:rsidR="00CC6F0F">
        <w:t>Preprocessing</w:t>
      </w:r>
      <w:proofErr w:type="spellEnd"/>
      <w:r w:rsidR="00CC6F0F">
        <w:t>: [</w:t>
      </w:r>
      <w:r w:rsidR="00CC6F0F" w:rsidRPr="00CC6F0F">
        <w:t>https://colab.research.google.com/drive/1iPE4tUL_VlQOok-k2DOrJCQ-fKAmvS--?usp=sharing</w:t>
      </w:r>
      <w:r>
        <w:t>]</w:t>
      </w:r>
    </w:p>
    <w:p w:rsidR="00B43870" w:rsidRDefault="00590DC3" w:rsidP="00CC6F0F">
      <w:pPr>
        <w:numPr>
          <w:ilvl w:val="0"/>
          <w:numId w:val="12"/>
        </w:numPr>
        <w:spacing w:after="33" w:line="259" w:lineRule="auto"/>
        <w:ind w:hanging="360"/>
      </w:pPr>
      <w:r>
        <w:t xml:space="preserve">Notebook 2, Model Development and </w:t>
      </w:r>
      <w:proofErr w:type="spellStart"/>
      <w:r>
        <w:t>Hyperparameter</w:t>
      </w:r>
      <w:proofErr w:type="spellEnd"/>
      <w:r>
        <w:t xml:space="preserve"> Tuning: [</w:t>
      </w:r>
      <w:r w:rsidR="00CC6F0F" w:rsidRPr="00CC6F0F">
        <w:t>https://colab.research.google.com/drive/1SWDOSdw4R1lrcjaj6NHUOAC1__9RnlFp?usp=sharing</w:t>
      </w:r>
      <w:r>
        <w:t>]</w:t>
      </w:r>
    </w:p>
    <w:p w:rsidR="00B43870" w:rsidRDefault="00590DC3" w:rsidP="00CC6F0F">
      <w:pPr>
        <w:numPr>
          <w:ilvl w:val="0"/>
          <w:numId w:val="12"/>
        </w:numPr>
        <w:spacing w:after="294"/>
        <w:ind w:hanging="360"/>
      </w:pPr>
      <w:r>
        <w:t>Notebook 3, Model Evaluation and Comparison: [</w:t>
      </w:r>
      <w:r w:rsidR="00CC6F0F" w:rsidRPr="00CC6F0F">
        <w:t>https://colab.research.google.com/drive/1X8Df7o_hlMSa-o7uSUSjRq-yWrO1O1sm?usp=sharing</w:t>
      </w:r>
      <w:r>
        <w:t>]</w:t>
      </w:r>
    </w:p>
    <w:p w:rsidR="00B43870" w:rsidRDefault="00590DC3">
      <w:pPr>
        <w:pStyle w:val="Heading2"/>
        <w:numPr>
          <w:ilvl w:val="0"/>
          <w:numId w:val="0"/>
        </w:numPr>
        <w:ind w:left="-5"/>
      </w:pPr>
      <w:r>
        <w:t>Google Drive Folder</w:t>
      </w:r>
    </w:p>
    <w:p w:rsidR="00B43870" w:rsidRDefault="00CC6F0F">
      <w:r>
        <w:t>Link [</w:t>
      </w:r>
      <w:r w:rsidRPr="00CC6F0F">
        <w:t>https://drive.google.com/drive/folders/1trcVdyeiIPSVrhRL0BkQsUcmsPC-xF6U?usp=sharing</w:t>
      </w:r>
      <w:bookmarkStart w:id="0" w:name="_GoBack"/>
      <w:bookmarkEnd w:id="0"/>
      <w:r>
        <w:t>]</w:t>
      </w:r>
    </w:p>
    <w:sectPr w:rsidR="00B43870">
      <w:headerReference w:type="even" r:id="rId18"/>
      <w:headerReference w:type="default" r:id="rId19"/>
      <w:footerReference w:type="even" r:id="rId20"/>
      <w:footerReference w:type="default" r:id="rId21"/>
      <w:headerReference w:type="first" r:id="rId22"/>
      <w:footerReference w:type="first" r:id="rId23"/>
      <w:pgSz w:w="12240" w:h="15840"/>
      <w:pgMar w:top="1079" w:right="1089" w:bottom="1087" w:left="1082" w:header="715" w:footer="70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0DC3" w:rsidRDefault="00590DC3">
      <w:pPr>
        <w:spacing w:after="0" w:line="240" w:lineRule="auto"/>
      </w:pPr>
      <w:r>
        <w:separator/>
      </w:r>
    </w:p>
  </w:endnote>
  <w:endnote w:type="continuationSeparator" w:id="0">
    <w:p w:rsidR="00590DC3" w:rsidRDefault="00590D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3870" w:rsidRDefault="00590DC3">
    <w:pPr>
      <w:spacing w:after="0" w:line="259" w:lineRule="auto"/>
      <w:ind w:left="12" w:firstLine="0"/>
      <w:jc w:val="center"/>
    </w:pPr>
    <w:r>
      <w:rPr>
        <w:color w:val="888888"/>
        <w:sz w:val="18"/>
      </w:rPr>
      <w:t xml:space="preserve">Page </w:t>
    </w: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3870" w:rsidRDefault="00590DC3">
    <w:pPr>
      <w:spacing w:after="0" w:line="259" w:lineRule="auto"/>
      <w:ind w:left="12" w:firstLine="0"/>
      <w:jc w:val="center"/>
    </w:pPr>
    <w:r>
      <w:rPr>
        <w:color w:val="888888"/>
        <w:sz w:val="18"/>
      </w:rPr>
      <w:t xml:space="preserve">Page </w:t>
    </w:r>
    <w:r>
      <w:fldChar w:fldCharType="begin"/>
    </w:r>
    <w:r>
      <w:instrText xml:space="preserve"> PAGE   \* MERGEFORMAT </w:instrText>
    </w:r>
    <w:r>
      <w:fldChar w:fldCharType="separate"/>
    </w:r>
    <w:r w:rsidR="00CC6F0F">
      <w:rPr>
        <w:noProof/>
      </w:rPr>
      <w:t>10</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3870" w:rsidRDefault="00590DC3">
    <w:pPr>
      <w:spacing w:after="0" w:line="259" w:lineRule="auto"/>
      <w:ind w:left="12" w:firstLine="0"/>
      <w:jc w:val="center"/>
    </w:pPr>
    <w:r>
      <w:rPr>
        <w:color w:val="888888"/>
        <w:sz w:val="18"/>
      </w:rPr>
      <w:t xml:space="preserve">Page </w:t>
    </w: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0DC3" w:rsidRDefault="00590DC3">
      <w:pPr>
        <w:spacing w:after="0" w:line="240" w:lineRule="auto"/>
      </w:pPr>
      <w:r>
        <w:separator/>
      </w:r>
    </w:p>
  </w:footnote>
  <w:footnote w:type="continuationSeparator" w:id="0">
    <w:p w:rsidR="00590DC3" w:rsidRDefault="00590D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3870" w:rsidRDefault="00590DC3">
    <w:pPr>
      <w:spacing w:after="0" w:line="259" w:lineRule="auto"/>
      <w:ind w:left="0" w:right="-9" w:firstLine="0"/>
      <w:jc w:val="right"/>
    </w:pPr>
    <w:r>
      <w:rPr>
        <w:color w:val="888888"/>
        <w:sz w:val="16"/>
      </w:rPr>
      <w:t>Credit Risk Classification: Technical Report</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3870" w:rsidRDefault="00590DC3">
    <w:pPr>
      <w:spacing w:after="0" w:line="259" w:lineRule="auto"/>
      <w:ind w:left="0" w:right="-9" w:firstLine="0"/>
      <w:jc w:val="right"/>
    </w:pPr>
    <w:r>
      <w:rPr>
        <w:color w:val="888888"/>
        <w:sz w:val="16"/>
      </w:rPr>
      <w:t>Credit Risk Classification: Technical Report</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3870" w:rsidRDefault="00590DC3">
    <w:pPr>
      <w:spacing w:after="0" w:line="259" w:lineRule="auto"/>
      <w:ind w:left="0" w:right="-9" w:firstLine="0"/>
      <w:jc w:val="right"/>
    </w:pPr>
    <w:r>
      <w:rPr>
        <w:color w:val="888888"/>
        <w:sz w:val="16"/>
      </w:rPr>
      <w:t>Credit Risk Classification: Technical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137AA"/>
    <w:multiLevelType w:val="hybridMultilevel"/>
    <w:tmpl w:val="79D2DD6E"/>
    <w:lvl w:ilvl="0" w:tplc="858A87F8">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05E51CA">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512C408">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D3AAA7C">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C87C82">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F3A672C">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2D809D4">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C3C32EA">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6C60D1C">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53630B"/>
    <w:multiLevelType w:val="hybridMultilevel"/>
    <w:tmpl w:val="C706D5B4"/>
    <w:lvl w:ilvl="0" w:tplc="0B8A0028">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A849590">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356AA7C">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FE4BBB6">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E089506">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0187614">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170A3BE">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E967BF4">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AB4FFF8">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C4B3F8F"/>
    <w:multiLevelType w:val="hybridMultilevel"/>
    <w:tmpl w:val="0242F048"/>
    <w:lvl w:ilvl="0" w:tplc="9F1680AA">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0E04F84">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2DA5484">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762FCA0">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60C19F6">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0627DA8">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4CC1F96">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262A460">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F40B5B8">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E2C5ADD"/>
    <w:multiLevelType w:val="hybridMultilevel"/>
    <w:tmpl w:val="446E9242"/>
    <w:lvl w:ilvl="0" w:tplc="794277E2">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3E46FAE">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A448BE8">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36C5CE6">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FB40D52">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2D25534">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DD4BAF0">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77C5C9C">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2D8D138">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8510BFE"/>
    <w:multiLevelType w:val="hybridMultilevel"/>
    <w:tmpl w:val="81C25A94"/>
    <w:lvl w:ilvl="0" w:tplc="3E0849B0">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64CDAE4">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2106884">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F2418CA">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20AE3FA">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7FC857A">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782D116">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CD8A6B2">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1AE768A">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506191A"/>
    <w:multiLevelType w:val="hybridMultilevel"/>
    <w:tmpl w:val="4D44BCD0"/>
    <w:lvl w:ilvl="0" w:tplc="F6DAB1C4">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1FC030C">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5CCF1CE">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7C8BF58">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A28C824">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01EC25A">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6B63F4E">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EFE3C9C">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F5287B2">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ECD35CC"/>
    <w:multiLevelType w:val="hybridMultilevel"/>
    <w:tmpl w:val="47FAD896"/>
    <w:lvl w:ilvl="0" w:tplc="8FFE7680">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DEE9C24">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ACACB96">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0F26E74">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F8230F4">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40EA6B2">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15E3040">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26AA228">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6D692C8">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02E0622"/>
    <w:multiLevelType w:val="hybridMultilevel"/>
    <w:tmpl w:val="F7783B8E"/>
    <w:lvl w:ilvl="0" w:tplc="0BB6BBF2">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7522A6A">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230BDB2">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BCC08D4">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E9CA444">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C3CF754">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B54837E">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5AA8D7C">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3B84CC2">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48A4A6D"/>
    <w:multiLevelType w:val="hybridMultilevel"/>
    <w:tmpl w:val="D67AAC14"/>
    <w:lvl w:ilvl="0" w:tplc="17D24D28">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B3A8908">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FFC87F8">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AD8BAF0">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5F6E73E">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76E6BDC">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992F70E">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ED28EEE">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A1071FE">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41A5490"/>
    <w:multiLevelType w:val="hybridMultilevel"/>
    <w:tmpl w:val="A9106E3A"/>
    <w:lvl w:ilvl="0" w:tplc="44EED9C6">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91C9676">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7FE3A48">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974983C">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740C23A">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C585F26">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CA21DB0">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4549EC6">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484A16">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25B032C"/>
    <w:multiLevelType w:val="hybridMultilevel"/>
    <w:tmpl w:val="A0D46442"/>
    <w:lvl w:ilvl="0" w:tplc="BE066642">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2C432E4">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FA47D9C">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CA2396E">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3B02624">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D0E6086">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C825454">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6D61E28">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AFC151E">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6047BD0"/>
    <w:multiLevelType w:val="multilevel"/>
    <w:tmpl w:val="3998F72C"/>
    <w:lvl w:ilvl="0">
      <w:start w:val="1"/>
      <w:numFmt w:val="decimal"/>
      <w:pStyle w:val="Heading1"/>
      <w:lvlText w:val="%1."/>
      <w:lvlJc w:val="left"/>
      <w:pPr>
        <w:ind w:left="0"/>
      </w:pPr>
      <w:rPr>
        <w:rFonts w:ascii="Calibri" w:eastAsia="Calibri" w:hAnsi="Calibri" w:cs="Calibri"/>
        <w:b w:val="0"/>
        <w:i w:val="0"/>
        <w:strike w:val="0"/>
        <w:dstrike w:val="0"/>
        <w:color w:val="2E74B5"/>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abstractNum>
  <w:abstractNum w:abstractNumId="12" w15:restartNumberingAfterBreak="0">
    <w:nsid w:val="71D664DD"/>
    <w:multiLevelType w:val="hybridMultilevel"/>
    <w:tmpl w:val="88825814"/>
    <w:lvl w:ilvl="0" w:tplc="4E966A06">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9E09760">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6F6FD3C">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6A759C">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C8207B8">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07E05D4">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0529680">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F7493A8">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3A88A1E">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abstractNumId w:val="12"/>
  </w:num>
  <w:num w:numId="2">
    <w:abstractNumId w:val="5"/>
  </w:num>
  <w:num w:numId="3">
    <w:abstractNumId w:val="2"/>
  </w:num>
  <w:num w:numId="4">
    <w:abstractNumId w:val="1"/>
  </w:num>
  <w:num w:numId="5">
    <w:abstractNumId w:val="6"/>
  </w:num>
  <w:num w:numId="6">
    <w:abstractNumId w:val="8"/>
  </w:num>
  <w:num w:numId="7">
    <w:abstractNumId w:val="9"/>
  </w:num>
  <w:num w:numId="8">
    <w:abstractNumId w:val="10"/>
  </w:num>
  <w:num w:numId="9">
    <w:abstractNumId w:val="7"/>
  </w:num>
  <w:num w:numId="10">
    <w:abstractNumId w:val="0"/>
  </w:num>
  <w:num w:numId="11">
    <w:abstractNumId w:val="4"/>
  </w:num>
  <w:num w:numId="12">
    <w:abstractNumId w:val="3"/>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870"/>
    <w:rsid w:val="00590DC3"/>
    <w:rsid w:val="00B43870"/>
    <w:rsid w:val="00CC6F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58803"/>
  <w15:docId w15:val="{C3EEACD8-6453-4851-BFB1-074606621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7" w:line="230" w:lineRule="auto"/>
      <w:ind w:left="10" w:hanging="10"/>
    </w:pPr>
    <w:rPr>
      <w:rFonts w:ascii="Calibri" w:eastAsia="Calibri" w:hAnsi="Calibri" w:cs="Calibri"/>
      <w:color w:val="000000"/>
      <w:sz w:val="20"/>
    </w:rPr>
  </w:style>
  <w:style w:type="paragraph" w:styleId="Heading1">
    <w:name w:val="heading 1"/>
    <w:next w:val="Normal"/>
    <w:link w:val="Heading1Char"/>
    <w:uiPriority w:val="9"/>
    <w:unhideWhenUsed/>
    <w:qFormat/>
    <w:pPr>
      <w:keepNext/>
      <w:keepLines/>
      <w:numPr>
        <w:numId w:val="13"/>
      </w:numPr>
      <w:spacing w:after="130"/>
      <w:ind w:left="10" w:hanging="10"/>
      <w:outlineLvl w:val="0"/>
    </w:pPr>
    <w:rPr>
      <w:rFonts w:ascii="Calibri" w:eastAsia="Calibri" w:hAnsi="Calibri" w:cs="Calibri"/>
      <w:color w:val="2E74B5"/>
      <w:sz w:val="32"/>
    </w:rPr>
  </w:style>
  <w:style w:type="paragraph" w:styleId="Heading2">
    <w:name w:val="heading 2"/>
    <w:next w:val="Normal"/>
    <w:link w:val="Heading2Char"/>
    <w:uiPriority w:val="9"/>
    <w:unhideWhenUsed/>
    <w:qFormat/>
    <w:pPr>
      <w:keepNext/>
      <w:keepLines/>
      <w:numPr>
        <w:ilvl w:val="1"/>
        <w:numId w:val="13"/>
      </w:numPr>
      <w:spacing w:after="20"/>
      <w:ind w:left="10" w:hanging="10"/>
      <w:outlineLvl w:val="1"/>
    </w:pPr>
    <w:rPr>
      <w:rFonts w:ascii="Calibri" w:eastAsia="Calibri" w:hAnsi="Calibri" w:cs="Calibri"/>
      <w:color w:val="2E74B5"/>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E74B5"/>
      <w:sz w:val="32"/>
    </w:rPr>
  </w:style>
  <w:style w:type="character" w:customStyle="1" w:styleId="Heading2Char">
    <w:name w:val="Heading 2 Char"/>
    <w:link w:val="Heading2"/>
    <w:rPr>
      <w:rFonts w:ascii="Calibri" w:eastAsia="Calibri" w:hAnsi="Calibri" w:cs="Calibri"/>
      <w:color w:val="2E74B5"/>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2657</Words>
  <Characters>15149</Characters>
  <Application>Microsoft Office Word</Application>
  <DocSecurity>0</DocSecurity>
  <Lines>126</Lines>
  <Paragraphs>35</Paragraphs>
  <ScaleCrop>false</ScaleCrop>
  <Company/>
  <LinksUpToDate>false</LinksUpToDate>
  <CharactersWithSpaces>17771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acer</cp:lastModifiedBy>
  <cp:revision>2</cp:revision>
  <dcterms:created xsi:type="dcterms:W3CDTF">2026-07-27T08:22:00Z</dcterms:created>
  <dcterms:modified xsi:type="dcterms:W3CDTF">2026-07-27T08:22:00Z</dcterms:modified>
</cp:coreProperties>
</file>