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right"/>
            </w:pPr>
            <w:r>
              <w:t>ملاحظات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العشاء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الغداء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الفطار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</w:tr>
      <w:tr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</w:tr>
      <w:tr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</w:tr>
      <w:tr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</w:tr>
      <w:tr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  <w:tc>
          <w:tcPr>
            <w:tcW w:type="dxa" w:w="2160"/>
          </w:tcPr>
          <w:p>
            <w:pPr>
              <w:jc w:val="right"/>
            </w:pPr>
            <w:r/>
          </w:p>
        </w:tc>
      </w:tr>
    </w:tbl>
    <w:p>
      <w:pPr>
        <w:jc w:val="right"/>
      </w:pPr>
      <w:r>
        <w:t>ملاحظات</w:t>
      </w:r>
    </w:p>
    <w:p>
      <w:pPr>
        <w:jc w:val="right"/>
      </w:pPr>
      <w:r>
        <w:t>العشاء</w:t>
      </w:r>
    </w:p>
    <w:p>
      <w:pPr>
        <w:jc w:val="right"/>
      </w:pPr>
      <w:r>
        <w:t>الغداء</w:t>
      </w:r>
    </w:p>
    <w:p>
      <w:pPr>
        <w:jc w:val="right"/>
      </w:pPr>
      <w:r>
        <w:t>الفطار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