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 STUDENT HANDBOOK</w:t>
      </w:r>
    </w:p>
    <w:p>
      <w:pPr>
        <w:jc w:val="center"/>
      </w:pPr>
      <w:r>
        <w:rPr>
          <w:b/>
          <w:color w:val="1E293B"/>
          <w:sz w:val="28"/>
        </w:rPr>
        <w:t>Ai Orientation And Responsible Use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 objective  Complete the troubleshoot for Ai Orientation And Responsible Use: Apply AI orientation and responsible use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AI orientation and responsible use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Ai Orientation And Responsible Use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Ai Orientation And Responsible Use.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“Ai Orientation And Responsible Use”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Day_04_Ai_Orientation_And_Responsible_Use/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Beyond_AI_Internship\Day_04_Ai_Orientation_And_Responsible_Use\evidence, Beyond_AI_Internship\Day_04_Ai_Orientation_And_Responsible_Use\notebooks, Beyond_AI_Internship\Day_04_Ai_Orientation_And_Responsible_Use\src, Beyond_AI_Internship\Day_04_Ai_Orientation_And_Responsible_Use\data, Beyond_AI_Internship\Day_04_Ai_Orientation_And_Responsible_Use\output, Beyond_AI_Internship\Day_04_Ai_Orientation_And_Responsible_Use\report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Beyond_AI_Internship/Day_04_Ai_Orientation_And_Responsible_Use/{evidence,notebooks,src,data,output,report}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Ai Orientation And Responsible Use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AI orientation and responsible use.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day_04_lab.py — Troubleshoot: Ai Orientation And Responsible Use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 practical starter for Ai Orientation And Responsible Use.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'Ai Orientation And Responsible Use')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Ai Orientation And Responsible Use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Ai Orientation And Responsible Use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 (Troubleshoot) on Ai Orientation And Responsible Use.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