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20 STUDENT HANDBOOK</w:t>
      </w:r>
    </w:p>
    <w:p>
      <w:pPr>
        <w:jc w:val="center"/>
      </w:pPr>
      <w:r>
        <w:rPr>
          <w:b/>
          <w:color w:val="1E293B"/>
          <w:sz w:val="28"/>
        </w:rPr>
        <w:t>Git And Reproducible Notebooks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20 objective  Complete the guided practical for Git And Reproducible Notebooks: Apply Git and reproducible notebooks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Git and reproducible notebooks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Git And Reproducible Notebooks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 And Reproducible Notebooks.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 And Reproducible Notebooks”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Day_20_Git_And_Reproducible_Notebooks/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Beyond_AI_Internship\Day_20_Git_And_Reproducible_Notebooks\evidence, Beyond_AI_Internship\Day_20_Git_And_Reproducible_Notebooks\notebooks, Beyond_AI_Internship\Day_20_Git_And_Reproducible_Notebooks\src, Beyond_AI_Internship\Day_20_Git_And_Reproducible_Notebooks\data, Beyond_AI_Internship\Day_20_Git_And_Reproducible_Notebooks\output, Beyond_AI_Internship\Day_20_Git_And_Reproducible_Notebooks\report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Beyond_AI_Internship/Day_20_Git_And_Reproducible_Notebooks/{evidence,notebooks,src,data,output,report}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Git And Reproducible Notebooks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Git and reproducible notebooks.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day_20_lab.py — Guided practical: Git And Reproducible Notebooks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20 practical starter for Git And Reproducible Notebooks.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 And Reproducible Notebooks')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 And Reproducible Notebooks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 And Reproducible Notebooks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20 (Guided practical) on Git And Reproducible Notebooks.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