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28 STUDENT HANDBOOK</w:t>
      </w:r>
    </w:p>
    <w:p>
      <w:pPr>
        <w:jc w:val="center"/>
      </w:pPr>
      <w:r>
        <w:rPr>
          <w:b/>
          <w:color w:val="1E293B"/>
          <w:sz w:val="28"/>
        </w:rPr>
        <w:t>Problem Framing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28 objective  Complete the troubleshoot for Problem Framing: Apply problem framing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problem framing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Problem Framing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Problem Framing.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“Problem Framing”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Day_28_Problem_Framing/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Beyond_AI_Internship\Day_28_Problem_Framing\evidence, Beyond_AI_Internship\Day_28_Problem_Framing\notebooks, Beyond_AI_Internship\Day_28_Problem_Framing\src, Beyond_AI_Internship\Day_28_Problem_Framing\data, Beyond_AI_Internship\Day_28_Problem_Framing\output, Beyond_AI_Internship\Day_28_Problem_Framing\report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Beyond_AI_Internship/Day_28_Problem_Framing/{evidence,notebooks,src,data,output,report}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Problem Framing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problem framing.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day_28_lab.py — Troubleshoot: Problem Framing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28 practical starter for Problem Framing.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'Problem Framing')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Problem Framing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Problem Framing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28 (Troubleshoot) on Problem Framing.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