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30 STUDENT HANDBOOK</w:t>
      </w:r>
    </w:p>
    <w:p>
      <w:pPr>
        <w:jc w:val="center"/>
      </w:pPr>
      <w:r>
        <w:rPr>
          <w:b/>
          <w:color w:val="1E293B"/>
          <w:sz w:val="28"/>
        </w:rPr>
        <w:t>Problem Framing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30 objective  Complete the assessment and reflection for Problem Framing: Apply problem framing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problem framing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Problem Framing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Problem Framing.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“Problem Framing”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Day_30_Problem_Framing/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Beyond_AI_Internship\Day_30_Problem_Framing\evidence, Beyond_AI_Internship\Day_30_Problem_Framing\notebooks, Beyond_AI_Internship\Day_30_Problem_Framing\src, Beyond_AI_Internship\Day_30_Problem_Framing\data, Beyond_AI_Internship\Day_30_Problem_Framing\output, Beyond_AI_Internship\Day_30_Problem_Framing\report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Beyond_AI_Internship/Day_30_Problem_Framing/{evidence,notebooks,src,data,output,report}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Problem Framing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problem framing,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day_30_lab.py — Assessment and reflection: Problem Framing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30 practical starter for Problem Framing.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'Problem Framing')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Problem Framing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Problem Framing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30 (Assessment and reflection) on Problem Framing.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