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45 STUDENT HANDBOOK</w:t>
      </w:r>
    </w:p>
    <w:p>
      <w:pPr>
        <w:jc w:val="center"/>
      </w:pPr>
      <w:r>
        <w:rPr>
          <w:b/>
          <w:color w:val="1E293B"/>
          <w:sz w:val="28"/>
        </w:rPr>
        <w:t>Rule-Based Expert Systems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45 objective  Complete the independent build for Rule-Based Expert Systems: Apply rule-based expert systems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rule-based expert systems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Rule-Based Expert Systems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Rule-Based Expert Systems.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“Rule-Based Expert Systems”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Rule-Based Expert Systems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Day_45_Rule_Based_Expert_Systems/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Beyond_AI_Internship\Day_45_Rule_Based_Expert_Systems\evidence, Beyond_AI_Internship\Day_45_Rule_Based_Expert_Systems\notebooks, Beyond_AI_Internship\Day_45_Rule_Based_Expert_Systems\src, Beyond_AI_Internship\Day_45_Rule_Based_Expert_Systems\data, Beyond_AI_Internship\Day_45_Rule_Based_Expert_Systems\output, Beyond_AI_Internship\Day_45_Rule_Based_Expert_Systems\report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Beyond_AI_Internship/Day_45_Rule_Based_Expert_Systems/{evidence,notebooks,src,data,output,report}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Rule-Based Expert Systems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rule-based expert systems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day_45_lab.py — Independent build: Rule-Based Expert Systems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45 practical starter for Rule-Based Expert Systems.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'Rule-Based Expert Systems')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Rule-Based Expert Systems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Rule-Based Expert Systems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45 (Independent build) on Rule-Based Expert Systems.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